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0"/>
        <w:framePr w:vAnchor="page" w:y="599"/>
        <w:spacing w:line="360" w:lineRule="auto"/>
        <w:rPr>
          <w:rFonts w:ascii="宋体" w:hAnsi="宋体" w:eastAsia="宋体" w:cs="宋体"/>
          <w:color w:val="000000" w:themeColor="text1"/>
          <w:highlight w:val="none"/>
          <w14:textFill>
            <w14:solidFill>
              <w14:schemeClr w14:val="tx1"/>
            </w14:solidFill>
          </w14:textFill>
        </w:rPr>
      </w:pPr>
      <w:bookmarkStart w:id="0" w:name="_Hlk26473981"/>
      <w:r>
        <w:rPr>
          <w:rFonts w:hint="eastAsia" w:ascii="宋体" w:hAnsi="宋体" w:eastAsia="宋体" w:cs="宋体"/>
          <w:color w:val="000000" w:themeColor="text1"/>
          <w:highlight w:val="none"/>
          <w14:textFill>
            <w14:solidFill>
              <w14:schemeClr w14:val="tx1"/>
            </w14:solidFill>
          </w14:textFill>
        </w:rPr>
        <w:t>ICS ××.×××.××</w:t>
      </w:r>
    </w:p>
    <w:p>
      <w:pPr>
        <w:pStyle w:val="160"/>
        <w:framePr w:vAnchor="page" w:y="599"/>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tbl>
      <w:tblPr>
        <w:tblStyle w:val="35"/>
        <w:tblW w:w="9854"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4" w:type="dxa"/>
            <w:tcBorders>
              <w:top w:val="nil"/>
              <w:left w:val="nil"/>
              <w:bottom w:val="nil"/>
              <w:right w:val="nil"/>
            </w:tcBorders>
          </w:tcPr>
          <w:p>
            <w:pPr>
              <w:pStyle w:val="160"/>
              <w:keepNext w:val="0"/>
              <w:keepLines w:val="0"/>
              <w:framePr w:vAnchor="page" w:y="599"/>
              <w:suppressLineNumbers w:val="0"/>
              <w:spacing w:before="0" w:beforeAutospacing="0" w:after="0" w:afterAutospacing="0" w:line="360" w:lineRule="auto"/>
              <w:ind w:left="0" w:right="0"/>
              <w:rPr>
                <w:rFonts w:hint="default" w:ascii="宋体" w:hAnsi="宋体" w:eastAsia="宋体" w:cs="宋体"/>
                <w:color w:val="000000" w:themeColor="text1"/>
                <w:szCs w:val="20"/>
                <w:highlight w:val="none"/>
                <w14:textFill>
                  <w14:solidFill>
                    <w14:schemeClr w14:val="tx1"/>
                  </w14:solidFill>
                </w14:textFill>
              </w:rPr>
            </w:pPr>
            <w:r>
              <w:rPr>
                <w:rFonts w:hint="default" w:ascii="宋体" w:hAnsi="宋体" w:eastAsia="宋体" w:cs="宋体"/>
                <w:color w:val="000000" w:themeColor="text1"/>
                <w:szCs w:val="20"/>
                <w:highlight w:val="non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9525" b="5080"/>
                      <wp:wrapNone/>
                      <wp:docPr id="6" name="矩形 6"/>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9525">
                                <a:noFill/>
                              </a:ln>
                              <a:effectLst/>
                            </wps:spPr>
                            <wps:bodyPr upright="1"/>
                          </wps:wsp>
                        </a:graphicData>
                      </a:graphic>
                    </wp:anchor>
                  </w:drawing>
                </mc:Choice>
                <mc:Fallback>
                  <w:pict>
                    <v:rect id="_x0000_s1026"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PTHorqQBAAAnAwAADgAAAGRycy9lMm9Eb2MueG1srVLBbtsw&#10;DL0P2D8Iui+OA8RNjTg9rEgvxVqg2wcosmQLkESBUuPkawb0to/Y5wz7jVFKlnXbbZgPMilSj3yP&#10;XN8cnGV7hdGA73g9m3OmvITe+KHjnz5u3604i0n4XljwquNHFfnN5u2b9RRatYARbK+QEYiP7RQ6&#10;PqYU2qqKclROxBkE5SmoAZ1I5OJQ9SgmQne2WsznTTUB9gFBqhjp9vYU5JuCr7WS6UHrqBKzHafe&#10;UjmxnLt8Vpu1aAcUYTTy3Ib4hy6cMJ6KXqBuRRLsGc1fUM5IhAg6zSS4CrQ2UhUOxKae/8HmaRRB&#10;FS4kTgwXmeL/g5Uf9o/ITN/xhjMvHI3o++cv376+sCZrM4XYUspTeMSzF8nMRA8aXf4TBXYoeh4v&#10;eqpDYpIuV01zdbXkTFKovl7Vi6J39etxwJjuFDiWjY4jjauoKPb3MVFBSv2ZkmtFsKbfGmuLg8Pu&#10;vUW2FzTabflyx/TktzTr2dTx6+ViWZA95PenPOszjipbcq6X+Z4YZmsH/ZHUeQ5ohpH6q0uBHKFp&#10;lFLnzcnjfu2T/Xq/N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yK4v7NUAAAAHAQAADwAAAAAA&#10;AAABACAAAAAiAAAAZHJzL2Rvd25yZXYueG1sUEsBAhQAFAAAAAgAh07iQD0x6K6kAQAAJwMAAA4A&#10;AAAAAAAAAQAgAAAAJAEAAGRycy9lMm9Eb2MueG1sUEsFBgAAAAAGAAYAWQEAADoFAAAAAA==&#10;">
                      <v:fill on="t" focussize="0,0"/>
                      <v:stroke on="f"/>
                      <v:imagedata o:title=""/>
                      <o:lock v:ext="edit" aspectratio="f"/>
                    </v:rect>
                  </w:pict>
                </mc:Fallback>
              </mc:AlternateContent>
            </w:r>
            <w:bookmarkStart w:id="1" w:name="BAH"/>
            <w:r>
              <w:rPr>
                <w:rFonts w:hint="eastAsia" w:ascii="宋体" w:hAnsi="宋体" w:eastAsia="宋体" w:cs="宋体"/>
                <w:color w:val="000000" w:themeColor="text1"/>
                <w:szCs w:val="20"/>
                <w:highlight w:val="none"/>
                <w14:textFill>
                  <w14:solidFill>
                    <w14:schemeClr w14:val="tx1"/>
                  </w14:solidFill>
                </w14:textFill>
              </w:rPr>
              <w:fldChar w:fldCharType="begin">
                <w:ffData>
                  <w:name w:val="BAH"/>
                  <w:enabled/>
                  <w:calcOnExit w:val="0"/>
                  <w:textInput/>
                </w:ffData>
              </w:fldChar>
            </w:r>
            <w:r>
              <w:rPr>
                <w:rFonts w:hint="eastAsia" w:ascii="宋体" w:hAnsi="宋体" w:eastAsia="宋体" w:cs="宋体"/>
                <w:color w:val="000000" w:themeColor="text1"/>
                <w:szCs w:val="20"/>
                <w:highlight w:val="none"/>
                <w14:textFill>
                  <w14:solidFill>
                    <w14:schemeClr w14:val="tx1"/>
                  </w14:solidFill>
                </w14:textFill>
              </w:rPr>
              <w:instrText xml:space="preserve"> FORMTEXT </w:instrText>
            </w:r>
            <w:r>
              <w:rPr>
                <w:rFonts w:hint="eastAsia" w:ascii="宋体" w:hAnsi="宋体" w:eastAsia="宋体" w:cs="宋体"/>
                <w:color w:val="000000" w:themeColor="text1"/>
                <w:szCs w:val="20"/>
                <w:highlight w:val="none"/>
                <w14:textFill>
                  <w14:solidFill>
                    <w14:schemeClr w14:val="tx1"/>
                  </w14:solidFill>
                </w14:textFill>
              </w:rPr>
              <w:fldChar w:fldCharType="separate"/>
            </w:r>
            <w:r>
              <w:rPr>
                <w:rFonts w:hint="eastAsia" w:ascii="宋体" w:hAnsi="宋体" w:eastAsia="宋体" w:cs="宋体"/>
                <w:color w:val="000000" w:themeColor="text1"/>
                <w:szCs w:val="20"/>
                <w:highlight w:val="none"/>
                <w14:textFill>
                  <w14:solidFill>
                    <w14:schemeClr w14:val="tx1"/>
                  </w14:solidFill>
                </w14:textFill>
              </w:rPr>
              <w:t>备案号：</w:t>
            </w:r>
            <w:r>
              <w:rPr>
                <w:rFonts w:hint="eastAsia" w:ascii="宋体" w:hAnsi="宋体" w:eastAsia="宋体" w:cs="宋体"/>
                <w:color w:val="000000" w:themeColor="text1"/>
                <w:szCs w:val="20"/>
                <w:highlight w:val="none"/>
                <w14:textFill>
                  <w14:solidFill>
                    <w14:schemeClr w14:val="tx1"/>
                  </w14:solidFill>
                </w14:textFill>
              </w:rPr>
              <w:fldChar w:fldCharType="end"/>
            </w:r>
            <w:bookmarkEnd w:id="1"/>
          </w:p>
        </w:tc>
      </w:tr>
    </w:tbl>
    <w:p>
      <w:pPr>
        <w:pStyle w:val="53"/>
        <w:framePr w:w="9639" w:h="624" w:hRule="exact" w:hSpace="181" w:vSpace="181" w:hAnchor="page" w:x="1305" w:y="2269"/>
        <w:rPr>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重庆市地方标准</w:t>
      </w:r>
    </w:p>
    <w:bookmarkEnd w:id="0"/>
    <w:p>
      <w:pPr>
        <w:pStyle w:val="245"/>
        <w:wordWrap w:val="0"/>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DB </w:t>
      </w:r>
      <w:bookmarkStart w:id="2" w:name="StdNo0"/>
      <w:r>
        <w:rPr>
          <w:rFonts w:hint="eastAsia" w:ascii="宋体" w:hAnsi="宋体" w:eastAsia="宋体" w:cs="宋体"/>
          <w:color w:val="000000" w:themeColor="text1"/>
          <w:highlight w:val="none"/>
          <w14:textFill>
            <w14:solidFill>
              <w14:schemeClr w14:val="tx1"/>
            </w14:solidFill>
          </w14:textFill>
        </w:rPr>
        <w:fldChar w:fldCharType="begin">
          <w:ffData>
            <w:name w:val="StdNo0"/>
            <w:enabled/>
            <w:calcOnExit w:val="0"/>
            <w:textInput>
              <w:default w:val="XX"/>
              <w:maxLength w:val="2"/>
            </w:textInput>
          </w:ffData>
        </w:fldChar>
      </w:r>
      <w:r>
        <w:rPr>
          <w:rFonts w:hint="eastAsia" w:ascii="宋体" w:hAnsi="宋体" w:eastAsia="宋体" w:cs="宋体"/>
          <w:color w:val="000000" w:themeColor="text1"/>
          <w:highlight w:val="none"/>
          <w14:textFill>
            <w14:solidFill>
              <w14:schemeClr w14:val="tx1"/>
            </w14:solidFill>
          </w14:textFill>
        </w:rPr>
        <w:instrText xml:space="preserve"> FORMTEXT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50</w:t>
      </w:r>
      <w:r>
        <w:rPr>
          <w:rFonts w:hint="eastAsia" w:ascii="宋体" w:hAnsi="宋体" w:eastAsia="宋体" w:cs="宋体"/>
          <w:color w:val="000000" w:themeColor="text1"/>
          <w:highlight w:val="none"/>
          <w14:textFill>
            <w14:solidFill>
              <w14:schemeClr w14:val="tx1"/>
            </w14:solidFill>
          </w14:textFill>
        </w:rPr>
        <w:fldChar w:fldCharType="end"/>
      </w:r>
      <w:bookmarkEnd w:id="2"/>
      <w:r>
        <w:rPr>
          <w:rFonts w:hint="eastAsia" w:ascii="宋体" w:hAnsi="宋体" w:eastAsia="宋体" w:cs="宋体"/>
          <w:color w:val="000000" w:themeColor="text1"/>
          <w:highlight w:val="none"/>
          <w14:textFill>
            <w14:solidFill>
              <w14:schemeClr w14:val="tx1"/>
            </w14:solidFill>
          </w14:textFill>
        </w:rPr>
        <w:t>/T ×××—202×</w:t>
      </w:r>
    </w:p>
    <w:p>
      <w:pPr>
        <w:pStyle w:val="199"/>
        <w:jc w:val="center"/>
        <w:rPr>
          <w:rFonts w:hint="eastAsia" w:eastAsia="黑体"/>
          <w:color w:val="000000" w:themeColor="text1"/>
          <w:highlight w:val="none"/>
          <w:lang w:val="en-US" w:eastAsia="zh-CN"/>
          <w14:textFill>
            <w14:solidFill>
              <w14:schemeClr w14:val="tx1"/>
            </w14:solidFill>
          </w14:textFill>
        </w:rPr>
      </w:pPr>
    </w:p>
    <w:p>
      <w:pPr>
        <w:pStyle w:val="200"/>
        <w:rPr>
          <w:rFonts w:hAnsi="黑体"/>
          <w:color w:val="000000" w:themeColor="text1"/>
          <w:highlight w:val="none"/>
          <w14:textFill>
            <w14:solidFill>
              <w14:schemeClr w14:val="tx1"/>
            </w14:solidFill>
          </w14:textFill>
        </w:rPr>
      </w:pPr>
    </w:p>
    <w:p>
      <w:pPr>
        <w:pStyle w:val="244"/>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DB</w:t>
      </w:r>
      <w:bookmarkStart w:id="3" w:name="c3"/>
      <w:r>
        <w:rPr>
          <w:rFonts w:hint="eastAsia" w:ascii="宋体" w:hAnsi="宋体" w:cs="宋体"/>
          <w:color w:val="000000" w:themeColor="text1"/>
          <w:highlight w:val="none"/>
          <w14:textFill>
            <w14:solidFill>
              <w14:schemeClr w14:val="tx1"/>
            </w14:solidFill>
          </w14:textFill>
        </w:rPr>
        <w:fldChar w:fldCharType="begin">
          <w:ffData>
            <w:name w:val="c3"/>
            <w:enabled/>
            <w:calcOnExit w:val="0"/>
            <w:entryMacro w:val="ShowHelp16"/>
            <w:textInput>
              <w:maxLength w:val="2"/>
            </w:textInput>
          </w:ffData>
        </w:fldChar>
      </w:r>
      <w:r>
        <w:rPr>
          <w:rFonts w:hint="eastAsia" w:ascii="宋体" w:hAnsi="宋体" w:cs="宋体"/>
          <w:color w:val="000000" w:themeColor="text1"/>
          <w:highlight w:val="none"/>
          <w14:textFill>
            <w14:solidFill>
              <w14:schemeClr w14:val="tx1"/>
            </w14:solidFill>
          </w14:textFill>
        </w:rPr>
        <w:instrText xml:space="preserve"> FORMTEXT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50</w:t>
      </w:r>
      <w:r>
        <w:rPr>
          <w:rFonts w:hint="eastAsia" w:ascii="宋体" w:hAnsi="宋体" w:cs="宋体"/>
          <w:color w:val="000000" w:themeColor="text1"/>
          <w:highlight w:val="none"/>
          <w14:textFill>
            <w14:solidFill>
              <w14:schemeClr w14:val="tx1"/>
            </w14:solidFill>
          </w14:textFill>
        </w:rPr>
        <w:fldChar w:fldCharType="end"/>
      </w:r>
      <w:bookmarkEnd w:id="3"/>
    </w:p>
    <w:p>
      <w:pPr>
        <w:spacing w:line="240" w:lineRule="auto"/>
        <w:ind w:left="8080"/>
        <w:rPr>
          <w:rFonts w:ascii="黑体" w:hAnsi="黑体" w:eastAsia="黑体"/>
          <w:color w:val="000000" w:themeColor="text1"/>
          <w:kern w:val="0"/>
          <w:sz w:val="52"/>
          <w:szCs w:val="20"/>
          <w:highlight w:val="none"/>
          <w14:textFill>
            <w14:solidFill>
              <w14:schemeClr w14:val="tx1"/>
            </w14:solidFill>
          </w14:textFill>
        </w:rPr>
      </w:pPr>
      <w:r>
        <w:rPr>
          <w:rFonts w:ascii="黑体" w:hAnsi="黑体" w:eastAsia="黑体"/>
          <w:color w:val="000000" w:themeColor="text1"/>
          <w:sz w:val="52"/>
          <w:highlight w:val="none"/>
          <w14:textFill>
            <w14:solidFill>
              <w14:schemeClr w14:val="tx1"/>
            </w14:solidFill>
          </w14:textFill>
        </w:rPr>
        <mc:AlternateContent>
          <mc:Choice Requires="wps">
            <w:drawing>
              <wp:anchor distT="0" distB="0" distL="114300" distR="114300" simplePos="0" relativeHeight="251660288" behindDoc="0" locked="0" layoutInCell="1" allowOverlap="0">
                <wp:simplePos x="0" y="0"/>
                <wp:positionH relativeFrom="page">
                  <wp:posOffset>677545</wp:posOffset>
                </wp:positionH>
                <wp:positionV relativeFrom="page">
                  <wp:posOffset>2355850</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3.35pt;margin-top:185.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3"/>
        <w:framePr w:w="9639" w:h="6976" w:hRule="exact" w:hSpace="0" w:vSpace="0" w:hAnchor="page" w:y="6408"/>
        <w:jc w:val="center"/>
        <w:rPr>
          <w:rFonts w:ascii="黑体" w:hAnsi="黑体" w:eastAsia="黑体"/>
          <w:b w:val="0"/>
          <w:bCs w:val="0"/>
          <w:color w:val="000000" w:themeColor="text1"/>
          <w:w w:val="100"/>
          <w:highlight w:val="none"/>
          <w14:textFill>
            <w14:solidFill>
              <w14:schemeClr w14:val="tx1"/>
            </w14:solidFill>
          </w14:textFill>
        </w:rPr>
      </w:pPr>
    </w:p>
    <w:p>
      <w:pPr>
        <w:pStyle w:val="201"/>
        <w:framePr w:h="6974" w:hRule="exact" w:x="1419" w:anchorLock="1"/>
        <w:rPr>
          <w:color w:val="000000" w:themeColor="text1"/>
          <w:highlight w:val="none"/>
          <w14:textFill>
            <w14:solidFill>
              <w14:schemeClr w14:val="tx1"/>
            </w14:solidFill>
          </w14:textFill>
        </w:rPr>
      </w:pPr>
      <w:r>
        <w:rPr>
          <w:rFonts w:hint="eastAsia" w:ascii="Times New Roman"/>
          <w:color w:val="000000"/>
        </w:rPr>
        <w:t>特种设备更新评估导则</w:t>
      </w:r>
      <w:r>
        <w:rPr>
          <w:rFonts w:hint="eastAsia" w:ascii="Times New Roman"/>
          <w:color w:val="000000"/>
          <w:lang w:val="en-US" w:eastAsia="zh-CN"/>
        </w:rPr>
        <w:t xml:space="preserve"> </w:t>
      </w:r>
      <w:r>
        <w:rPr>
          <w:rFonts w:hint="eastAsia" w:ascii="Times New Roman"/>
          <w:color w:val="000000"/>
        </w:rPr>
        <w:t>第</w:t>
      </w:r>
      <w:r>
        <w:rPr>
          <w:rFonts w:hint="eastAsia" w:ascii="Times New Roman"/>
          <w:color w:val="000000"/>
          <w:lang w:val="en-US" w:eastAsia="zh-CN"/>
        </w:rPr>
        <w:t>7</w:t>
      </w:r>
      <w:r>
        <w:rPr>
          <w:rFonts w:hint="eastAsia" w:ascii="Times New Roman"/>
          <w:color w:val="000000"/>
        </w:rPr>
        <w:t>部分</w:t>
      </w:r>
      <w:r>
        <w:rPr>
          <w:rFonts w:hint="eastAsia" w:ascii="Times New Roman"/>
          <w:color w:val="000000"/>
          <w:lang w:val="en-US" w:eastAsia="zh-CN"/>
        </w:rPr>
        <w:t xml:space="preserve"> </w:t>
      </w:r>
      <w:r>
        <w:rPr>
          <w:rFonts w:hint="eastAsia" w:ascii="Times New Roman"/>
          <w:color w:val="000000"/>
          <w:lang w:eastAsia="zh-CN"/>
        </w:rPr>
        <w:t>锅炉</w:t>
      </w:r>
    </w:p>
    <w:p>
      <w:pPr>
        <w:pStyle w:val="59"/>
        <w:framePr w:h="6974" w:hRule="exact" w:wrap="around" w:vAnchor="margin" w:hAnchor="text" w:x="1419" w:y="1" w:anchorLock="1"/>
        <w:ind w:firstLine="420"/>
        <w:rPr>
          <w:color w:val="000000" w:themeColor="text1"/>
          <w:highlight w:val="none"/>
          <w14:textFill>
            <w14:solidFill>
              <w14:schemeClr w14:val="tx1"/>
            </w14:solidFill>
          </w14:textFill>
        </w:rPr>
      </w:pPr>
      <w:bookmarkStart w:id="53" w:name="_GoBack"/>
    </w:p>
    <w:bookmarkEnd w:id="53"/>
    <w:p>
      <w:pPr>
        <w:pStyle w:val="197"/>
        <w:framePr w:y="14176"/>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page">
                  <wp:posOffset>900430</wp:posOffset>
                </wp:positionH>
                <wp:positionV relativeFrom="page">
                  <wp:posOffset>4140200</wp:posOffset>
                </wp:positionV>
                <wp:extent cx="6120765" cy="4320540"/>
                <wp:effectExtent l="0" t="0" r="635" b="10160"/>
                <wp:wrapNone/>
                <wp:docPr id="7"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126"/>
                              <w:rPr>
                                <w:rFonts w:hint="eastAsia" w:hAnsi="Times New Roman" w:cs="Times New Roman"/>
                                <w:szCs w:val="22"/>
                                <w:lang w:val="en-US" w:eastAsia="zh-CN"/>
                              </w:rPr>
                            </w:pPr>
                            <w:r>
                              <w:rPr>
                                <w:rFonts w:hint="eastAsia" w:hAnsi="Times New Roman" w:cs="Times New Roman"/>
                                <w:szCs w:val="22"/>
                                <w:lang w:val="en-US" w:eastAsia="zh-CN"/>
                              </w:rPr>
                              <w:t xml:space="preserve">特种设备更新评估导则 </w:t>
                            </w:r>
                          </w:p>
                          <w:p>
                            <w:pPr>
                              <w:pStyle w:val="126"/>
                              <w:rPr>
                                <w:rFonts w:hint="eastAsia" w:hAnsi="Times New Roman" w:cs="Times New Roman"/>
                                <w:szCs w:val="22"/>
                                <w:lang w:val="en-US" w:eastAsia="zh-CN"/>
                              </w:rPr>
                            </w:pPr>
                            <w:r>
                              <w:rPr>
                                <w:rFonts w:hint="eastAsia" w:hAnsi="Times New Roman" w:cs="Times New Roman"/>
                                <w:szCs w:val="22"/>
                                <w:lang w:val="en-US" w:eastAsia="zh-CN"/>
                              </w:rPr>
                              <w:t>第7部分：锅炉</w:t>
                            </w:r>
                          </w:p>
                          <w:p>
                            <w:pPr>
                              <w:pStyle w:val="126"/>
                              <w:rPr>
                                <w:rFonts w:hint="eastAsia" w:eastAsia="黑体"/>
                                <w:lang w:eastAsia="zh-CN"/>
                              </w:rPr>
                            </w:pPr>
                            <w:r>
                              <w:rPr>
                                <w:rFonts w:hint="eastAsia"/>
                                <w:lang w:val="en-US" w:eastAsia="zh-CN"/>
                              </w:rPr>
                              <w:t xml:space="preserve"> </w:t>
                            </w:r>
                          </w:p>
                          <w:p>
                            <w:pPr>
                              <w:spacing w:beforeLines="0" w:afterLines="0"/>
                              <w:jc w:val="left"/>
                              <w:rPr>
                                <w:rFonts w:hint="eastAsia" w:ascii="Times New Roman" w:hAnsi="Times New Roman" w:eastAsia="Times New Roman"/>
                                <w:color w:val="000000"/>
                                <w:sz w:val="24"/>
                              </w:rPr>
                            </w:pPr>
                          </w:p>
                          <w:p>
                            <w:pPr>
                              <w:spacing w:beforeLines="0" w:afterLines="0"/>
                              <w:jc w:val="left"/>
                              <w:rPr>
                                <w:rFonts w:hint="eastAsia" w:ascii="Times New Roman" w:hAnsi="Times New Roman" w:eastAsia="Times New Roman"/>
                                <w:color w:val="000000"/>
                                <w:sz w:val="24"/>
                              </w:rPr>
                            </w:pPr>
                            <w:r>
                              <w:rPr>
                                <w:rFonts w:hint="eastAsia" w:ascii="Times New Roman" w:hAnsi="Times New Roman" w:eastAsia="Times New Roman"/>
                                <w:color w:val="000000"/>
                                <w:sz w:val="24"/>
                              </w:rPr>
                              <w:t xml:space="preserve"> </w:t>
                            </w:r>
                          </w:p>
                          <w:p>
                            <w:pPr>
                              <w:pStyle w:val="129"/>
                              <w:rPr>
                                <w:rFonts w:hint="eastAsia" w:ascii="Times New Roman" w:hAnsi="Times New Roman" w:eastAsia="Times New Roman"/>
                                <w:color w:val="000000"/>
                                <w:sz w:val="28"/>
                              </w:rPr>
                            </w:pPr>
                            <w:r>
                              <w:rPr>
                                <w:rFonts w:hint="eastAsia"/>
                              </w:rPr>
                              <w:t>Guideline</w:t>
                            </w:r>
                            <w:r>
                              <w:rPr>
                                <w:rFonts w:hint="eastAsia"/>
                                <w:lang w:val="en-US" w:eastAsia="zh-CN"/>
                              </w:rPr>
                              <w:t xml:space="preserve"> on</w:t>
                            </w:r>
                            <w:r>
                              <w:rPr>
                                <w:rFonts w:hint="eastAsia" w:ascii="Times New Roman" w:hAnsi="Times New Roman" w:eastAsia="Times New Roman"/>
                                <w:color w:val="000000"/>
                                <w:sz w:val="28"/>
                              </w:rPr>
                              <w:t xml:space="preserve"> </w:t>
                            </w:r>
                            <w:r>
                              <w:rPr>
                                <w:rFonts w:hint="eastAsia"/>
                                <w:lang w:val="en-US" w:eastAsia="zh-CN"/>
                              </w:rPr>
                              <w:t>renewal</w:t>
                            </w:r>
                            <w:r>
                              <w:rPr>
                                <w:rFonts w:hint="eastAsia" w:ascii="Times New Roman" w:hAnsi="Times New Roman" w:eastAsia="Times New Roman"/>
                                <w:color w:val="000000"/>
                                <w:sz w:val="28"/>
                              </w:rPr>
                              <w:t xml:space="preserve"> assessment </w:t>
                            </w:r>
                            <w:r>
                              <w:rPr>
                                <w:rFonts w:hint="eastAsia"/>
                              </w:rPr>
                              <w:t>of</w:t>
                            </w:r>
                            <w:r>
                              <w:rPr>
                                <w:rFonts w:hint="eastAsia"/>
                                <w:lang w:val="en-US" w:eastAsia="zh-CN"/>
                              </w:rPr>
                              <w:t xml:space="preserve"> </w:t>
                            </w:r>
                            <w:r>
                              <w:rPr>
                                <w:rFonts w:hint="eastAsia"/>
                              </w:rPr>
                              <w:t>special equipment</w:t>
                            </w:r>
                          </w:p>
                          <w:p>
                            <w:pPr>
                              <w:pStyle w:val="129"/>
                              <w:rPr>
                                <w:rFonts w:hint="eastAsia" w:ascii="Times New Roman" w:hAnsi="Times New Roman" w:eastAsia="Times New Roman"/>
                                <w:color w:val="000000"/>
                                <w:sz w:val="28"/>
                              </w:rPr>
                            </w:pPr>
                          </w:p>
                          <w:p>
                            <w:pPr>
                              <w:pStyle w:val="129"/>
                            </w:pPr>
                            <w:r>
                              <w:rPr>
                                <w:rFonts w:hint="eastAsia" w:ascii="Times New Roman" w:hAnsi="Times New Roman"/>
                                <w:color w:val="000000"/>
                                <w:sz w:val="28"/>
                                <w:lang w:val="en-US" w:eastAsia="zh-CN"/>
                              </w:rPr>
                              <w:t>Part 7:</w:t>
                            </w:r>
                            <w:r>
                              <w:rPr>
                                <w:rFonts w:hint="eastAsia"/>
                              </w:rPr>
                              <w:t>boiler</w:t>
                            </w:r>
                          </w:p>
                          <w:p>
                            <w:pPr>
                              <w:pStyle w:val="126"/>
                              <w:jc w:val="both"/>
                            </w:pPr>
                          </w:p>
                          <w:p>
                            <w:pPr>
                              <w:pStyle w:val="126"/>
                            </w:pPr>
                            <w:r>
                              <w:rPr>
                                <w:rFonts w:hint="eastAsia"/>
                              </w:rPr>
                              <w:t>(</w:t>
                            </w:r>
                            <w:r>
                              <w:rPr>
                                <w:rFonts w:hint="eastAsia"/>
                                <w:lang w:val="en-US" w:eastAsia="zh-CN"/>
                              </w:rPr>
                              <w:t>征求意见稿</w:t>
                            </w:r>
                            <w:r>
                              <w:rPr>
                                <w:rFonts w:hint="eastAsia"/>
                              </w:rPr>
                              <w:t>）</w:t>
                            </w:r>
                          </w:p>
                          <w:p>
                            <w:pPr>
                              <w:pStyle w:val="129"/>
                            </w:pPr>
                          </w:p>
                          <w:p>
                            <w:pPr>
                              <w:pStyle w:val="130"/>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70.9pt;margin-top:326pt;height:340.2pt;width:481.95pt;mso-position-horizontal-relative:page;mso-position-vertical-relative:page;z-index:251665408;mso-width-relative:page;mso-height-relative:page;" fillcolor="#FFFFFF [3201]" filled="t" stroked="f" coordsize="21600,21600" o:gfxdata="UEsDBAoAAAAAAIdO4kAAAAAAAAAAAAAAAAAEAAAAZHJzL1BLAwQUAAAACACHTuJALE710NwAAAAN&#10;AQAADwAAAGRycy9kb3ducmV2LnhtbE2PQU+DQBCF7yb+h82YeLO70JYSZOmh0YuJJqImepvCCqTs&#10;LGWXUv+905Pe5mVe3vtevj3bXpzM6DtHGqKFAmGocnVHjYb3t8e7FIQPSDX2joyGH+NhW1xf5ZjV&#10;bqZXcypDIziEfIYa2hCGTEpftcaiX7jBEP++3WgxsBwbWY84c7jtZaxUIi12xA0tDmbXmupQTlZD&#10;uvlI5y98Puwe0nCcPsujenpJtL69idQ9iGDO4c8MF3xGh4KZ9m6i2oue9Spi9KAhWcc86uKI1HoD&#10;Ys/XchmvQBa5/L+i+AVQSwMEFAAAAAgAh07iQLvtDblDAgAAPgQAAA4AAABkcnMvZTJvRG9jLnht&#10;bK1TzY7TMBC+I/EOlu80abc/UDVdla6KkCp2pYI4u47TWnI8xnablAeAF0BcOO2FA3dOSLwNP/sW&#10;jJ2my98JkYMznvk8P9/MTM7rUpG9sE6Czmi3k1IiNIdc6k1Gnz1d3LtPifNM50yBFhk9CEfPp3fv&#10;TCozFj3YgsqFJehEu3FlMrr13oyTxPGtKJnrgBEajQXYknm82k2SW1ah91IlvTQdJhXY3FjgwjnU&#10;XjRGOo3+i0Jwf1kUTniiMoq5+XjaeK7DmUwnbLyxzGwlP6bB/iGLkkmNQU+uLphnZGflH65KyS04&#10;KHyHQ5lAUUguYg1YTTf9rZrVlhkRa0FynDnR5P6fW/5kf2WJzDM6okSzElt08/7tzfXH768/fHvz&#10;6ev1qy/vPo8CTZVxY0SvDOJ9/RBqbHerd6gM1deFLcMf6yJoR8IPJ5JF7QlH5bDbS0fDASUcbf2z&#10;XjroxzYkt8+Ndf6RgJIEIaMWuxjJZful85gKQltIiOZAyXwhlYoXu1nPlSV7hh1fxC9kiU9+gSlN&#10;KszlbJBGzxrC+wanNMJDtU1VQfL1uj5SsIb8gAxYaEbJGb6QmOWSOX/FLM4OFo374C/xKBRgEDhK&#10;lGzBvvybPuCxpWilpMJZzKh7sWNWUKIea2x2GNxWsFF40O0ja2TdavWunAMW3MVtMzyKaLZetWJh&#10;oXyOqzILkdDENMd4GfWtOPfNVuCqcTGbRRCOqGF+qVeGB9eBXg2znYdCxjYEaho+jozhkEaqjwsV&#10;tuDne0Tdrv30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xO9dDcAAAADQEAAA8AAAAAAAAAAQAg&#10;AAAAIgAAAGRycy9kb3ducmV2LnhtbFBLAQIUABQAAAAIAIdO4kC77Q25QwIAAD4EAAAOAAAAAAAA&#10;AAEAIAAAACsBAABkcnMvZTJvRG9jLnhtbFBLBQYAAAAABgAGAFkBAADgBQAAAAA=&#10;">
                <v:fill on="t" focussize="0,0"/>
                <v:stroke on="f" weight="0.5pt"/>
                <v:imagedata o:title=""/>
                <o:lock v:ext="edit" aspectratio="f"/>
                <v:textbox inset="0mm,0mm,2.54mm,0mm">
                  <w:txbxContent>
                    <w:p>
                      <w:pPr>
                        <w:pStyle w:val="126"/>
                        <w:rPr>
                          <w:rFonts w:hint="eastAsia" w:hAnsi="Times New Roman" w:cs="Times New Roman"/>
                          <w:szCs w:val="22"/>
                          <w:lang w:val="en-US" w:eastAsia="zh-CN"/>
                        </w:rPr>
                      </w:pPr>
                      <w:r>
                        <w:rPr>
                          <w:rFonts w:hint="eastAsia" w:hAnsi="Times New Roman" w:cs="Times New Roman"/>
                          <w:szCs w:val="22"/>
                          <w:lang w:val="en-US" w:eastAsia="zh-CN"/>
                        </w:rPr>
                        <w:t xml:space="preserve">特种设备更新评估导则 </w:t>
                      </w:r>
                    </w:p>
                    <w:p>
                      <w:pPr>
                        <w:pStyle w:val="126"/>
                        <w:rPr>
                          <w:rFonts w:hint="eastAsia" w:hAnsi="Times New Roman" w:cs="Times New Roman"/>
                          <w:szCs w:val="22"/>
                          <w:lang w:val="en-US" w:eastAsia="zh-CN"/>
                        </w:rPr>
                      </w:pPr>
                      <w:r>
                        <w:rPr>
                          <w:rFonts w:hint="eastAsia" w:hAnsi="Times New Roman" w:cs="Times New Roman"/>
                          <w:szCs w:val="22"/>
                          <w:lang w:val="en-US" w:eastAsia="zh-CN"/>
                        </w:rPr>
                        <w:t>第7部分：锅炉</w:t>
                      </w:r>
                    </w:p>
                    <w:p>
                      <w:pPr>
                        <w:pStyle w:val="126"/>
                        <w:rPr>
                          <w:rFonts w:hint="eastAsia" w:eastAsia="黑体"/>
                          <w:lang w:eastAsia="zh-CN"/>
                        </w:rPr>
                      </w:pPr>
                      <w:r>
                        <w:rPr>
                          <w:rFonts w:hint="eastAsia"/>
                          <w:lang w:val="en-US" w:eastAsia="zh-CN"/>
                        </w:rPr>
                        <w:t xml:space="preserve"> </w:t>
                      </w:r>
                    </w:p>
                    <w:p>
                      <w:pPr>
                        <w:spacing w:beforeLines="0" w:afterLines="0"/>
                        <w:jc w:val="left"/>
                        <w:rPr>
                          <w:rFonts w:hint="eastAsia" w:ascii="Times New Roman" w:hAnsi="Times New Roman" w:eastAsia="Times New Roman"/>
                          <w:color w:val="000000"/>
                          <w:sz w:val="24"/>
                        </w:rPr>
                      </w:pPr>
                    </w:p>
                    <w:p>
                      <w:pPr>
                        <w:spacing w:beforeLines="0" w:afterLines="0"/>
                        <w:jc w:val="left"/>
                        <w:rPr>
                          <w:rFonts w:hint="eastAsia" w:ascii="Times New Roman" w:hAnsi="Times New Roman" w:eastAsia="Times New Roman"/>
                          <w:color w:val="000000"/>
                          <w:sz w:val="24"/>
                        </w:rPr>
                      </w:pPr>
                      <w:r>
                        <w:rPr>
                          <w:rFonts w:hint="eastAsia" w:ascii="Times New Roman" w:hAnsi="Times New Roman" w:eastAsia="Times New Roman"/>
                          <w:color w:val="000000"/>
                          <w:sz w:val="24"/>
                        </w:rPr>
                        <w:t xml:space="preserve"> </w:t>
                      </w:r>
                    </w:p>
                    <w:p>
                      <w:pPr>
                        <w:pStyle w:val="129"/>
                        <w:rPr>
                          <w:rFonts w:hint="eastAsia" w:ascii="Times New Roman" w:hAnsi="Times New Roman" w:eastAsia="Times New Roman"/>
                          <w:color w:val="000000"/>
                          <w:sz w:val="28"/>
                        </w:rPr>
                      </w:pPr>
                      <w:r>
                        <w:rPr>
                          <w:rFonts w:hint="eastAsia"/>
                        </w:rPr>
                        <w:t>Guideline</w:t>
                      </w:r>
                      <w:r>
                        <w:rPr>
                          <w:rFonts w:hint="eastAsia"/>
                          <w:lang w:val="en-US" w:eastAsia="zh-CN"/>
                        </w:rPr>
                        <w:t xml:space="preserve"> on</w:t>
                      </w:r>
                      <w:r>
                        <w:rPr>
                          <w:rFonts w:hint="eastAsia" w:ascii="Times New Roman" w:hAnsi="Times New Roman" w:eastAsia="Times New Roman"/>
                          <w:color w:val="000000"/>
                          <w:sz w:val="28"/>
                        </w:rPr>
                        <w:t xml:space="preserve"> </w:t>
                      </w:r>
                      <w:r>
                        <w:rPr>
                          <w:rFonts w:hint="eastAsia"/>
                          <w:lang w:val="en-US" w:eastAsia="zh-CN"/>
                        </w:rPr>
                        <w:t>renewal</w:t>
                      </w:r>
                      <w:r>
                        <w:rPr>
                          <w:rFonts w:hint="eastAsia" w:ascii="Times New Roman" w:hAnsi="Times New Roman" w:eastAsia="Times New Roman"/>
                          <w:color w:val="000000"/>
                          <w:sz w:val="28"/>
                        </w:rPr>
                        <w:t xml:space="preserve"> assessment </w:t>
                      </w:r>
                      <w:r>
                        <w:rPr>
                          <w:rFonts w:hint="eastAsia"/>
                        </w:rPr>
                        <w:t>of</w:t>
                      </w:r>
                      <w:r>
                        <w:rPr>
                          <w:rFonts w:hint="eastAsia"/>
                          <w:lang w:val="en-US" w:eastAsia="zh-CN"/>
                        </w:rPr>
                        <w:t xml:space="preserve"> </w:t>
                      </w:r>
                      <w:r>
                        <w:rPr>
                          <w:rFonts w:hint="eastAsia"/>
                        </w:rPr>
                        <w:t>special equipment</w:t>
                      </w:r>
                    </w:p>
                    <w:p>
                      <w:pPr>
                        <w:pStyle w:val="129"/>
                        <w:rPr>
                          <w:rFonts w:hint="eastAsia" w:ascii="Times New Roman" w:hAnsi="Times New Roman" w:eastAsia="Times New Roman"/>
                          <w:color w:val="000000"/>
                          <w:sz w:val="28"/>
                        </w:rPr>
                      </w:pPr>
                    </w:p>
                    <w:p>
                      <w:pPr>
                        <w:pStyle w:val="129"/>
                      </w:pPr>
                      <w:r>
                        <w:rPr>
                          <w:rFonts w:hint="eastAsia" w:ascii="Times New Roman" w:hAnsi="Times New Roman"/>
                          <w:color w:val="000000"/>
                          <w:sz w:val="28"/>
                          <w:lang w:val="en-US" w:eastAsia="zh-CN"/>
                        </w:rPr>
                        <w:t>Part 7:</w:t>
                      </w:r>
                      <w:r>
                        <w:rPr>
                          <w:rFonts w:hint="eastAsia"/>
                        </w:rPr>
                        <w:t>boiler</w:t>
                      </w:r>
                    </w:p>
                    <w:p>
                      <w:pPr>
                        <w:pStyle w:val="126"/>
                        <w:jc w:val="both"/>
                      </w:pPr>
                    </w:p>
                    <w:p>
                      <w:pPr>
                        <w:pStyle w:val="126"/>
                      </w:pPr>
                      <w:r>
                        <w:rPr>
                          <w:rFonts w:hint="eastAsia"/>
                        </w:rPr>
                        <w:t>(</w:t>
                      </w:r>
                      <w:r>
                        <w:rPr>
                          <w:rFonts w:hint="eastAsia"/>
                          <w:lang w:val="en-US" w:eastAsia="zh-CN"/>
                        </w:rPr>
                        <w:t>征求意见稿</w:t>
                      </w:r>
                      <w:r>
                        <w:rPr>
                          <w:rFonts w:hint="eastAsia"/>
                        </w:rPr>
                        <w:t>）</w:t>
                      </w:r>
                    </w:p>
                    <w:p>
                      <w:pPr>
                        <w:pStyle w:val="129"/>
                      </w:pPr>
                    </w:p>
                    <w:p>
                      <w:pPr>
                        <w:pStyle w:val="130"/>
                      </w:pPr>
                    </w:p>
                  </w:txbxContent>
                </v:textbox>
              </v:shape>
            </w:pict>
          </mc:Fallback>
        </mc:AlternateContent>
      </w:r>
      <w:r>
        <w:rPr>
          <w:rFonts w:ascii="黑体"/>
          <w:color w:val="000000" w:themeColor="text1"/>
          <w:highlight w:val="none"/>
          <w14:textFill>
            <w14:solidFill>
              <w14:schemeClr w14:val="tx1"/>
            </w14:solidFill>
          </w14:textFill>
        </w:rPr>
        <w:fldChar w:fldCharType="begin">
          <w:ffData>
            <w:name w:val="PLSH_DATE_Y"/>
            <w:enabled/>
            <w:calcOnExit w:val="0"/>
            <w:textInput>
              <w:default w:val="XXXX"/>
              <w:maxLength w:val="4"/>
            </w:textInput>
          </w:ffData>
        </w:fldChar>
      </w:r>
      <w:bookmarkStart w:id="4" w:name="PLSH_DATE_Y"/>
      <w:r>
        <w:rPr>
          <w:rFonts w:ascii="黑体"/>
          <w:color w:val="000000" w:themeColor="text1"/>
          <w:highlight w:val="none"/>
          <w14:textFill>
            <w14:solidFill>
              <w14:schemeClr w14:val="tx1"/>
            </w14:solidFill>
          </w14:textFill>
        </w:rPr>
        <w:instrText xml:space="preserve"> FORMTEXT </w:instrText>
      </w:r>
      <w:r>
        <w:rPr>
          <w:rFonts w:ascii="黑体"/>
          <w:color w:val="000000" w:themeColor="text1"/>
          <w:highlight w:val="none"/>
          <w14:textFill>
            <w14:solidFill>
              <w14:schemeClr w14:val="tx1"/>
            </w14:solidFill>
          </w14:textFill>
        </w:rPr>
        <w:fldChar w:fldCharType="separate"/>
      </w:r>
      <w:r>
        <w:rPr>
          <w:rFonts w:ascii="黑体"/>
          <w:color w:val="000000" w:themeColor="text1"/>
          <w:highlight w:val="none"/>
          <w14:textFill>
            <w14:solidFill>
              <w14:schemeClr w14:val="tx1"/>
            </w14:solidFill>
          </w14:textFill>
        </w:rPr>
        <w:t>202X</w:t>
      </w:r>
      <w:r>
        <w:rPr>
          <w:rFonts w:ascii="黑体"/>
          <w:color w:val="000000" w:themeColor="text1"/>
          <w:highlight w:val="none"/>
          <w14:textFill>
            <w14:solidFill>
              <w14:schemeClr w14:val="tx1"/>
            </w14:solidFill>
          </w14:textFill>
        </w:rPr>
        <w:fldChar w:fldCharType="end"/>
      </w:r>
      <w:bookmarkEnd w:id="4"/>
      <w:r>
        <w:rPr>
          <w:color w:val="000000" w:themeColor="text1"/>
          <w:highlight w:val="none"/>
          <w14:textFill>
            <w14:solidFill>
              <w14:schemeClr w14:val="tx1"/>
            </w14:solidFill>
          </w14:textFill>
        </w:rPr>
        <w:t xml:space="preserve"> </w:t>
      </w:r>
      <w:r>
        <w:rPr>
          <w:rFonts w:ascii="黑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ascii="黑体"/>
          <w:color w:val="000000" w:themeColor="text1"/>
          <w:highlight w:val="none"/>
          <w14:textFill>
            <w14:solidFill>
              <w14:schemeClr w14:val="tx1"/>
            </w14:solidFill>
          </w14:textFill>
        </w:rPr>
        <w:fldChar w:fldCharType="begin">
          <w:ffData>
            <w:name w:val="PLSH_DATE_M"/>
            <w:enabled/>
            <w:calcOnExit w:val="0"/>
            <w:textInput>
              <w:default w:val="XX"/>
              <w:maxLength w:val="2"/>
            </w:textInput>
          </w:ffData>
        </w:fldChar>
      </w:r>
      <w:bookmarkStart w:id="5" w:name="PLSH_DATE_M"/>
      <w:r>
        <w:rPr>
          <w:rFonts w:ascii="黑体"/>
          <w:color w:val="000000" w:themeColor="text1"/>
          <w:highlight w:val="none"/>
          <w14:textFill>
            <w14:solidFill>
              <w14:schemeClr w14:val="tx1"/>
            </w14:solidFill>
          </w14:textFill>
        </w:rPr>
        <w:instrText xml:space="preserve"> FORMTEXT </w:instrText>
      </w:r>
      <w:r>
        <w:rPr>
          <w:rFonts w:ascii="黑体"/>
          <w:color w:val="000000" w:themeColor="text1"/>
          <w:highlight w:val="none"/>
          <w14:textFill>
            <w14:solidFill>
              <w14:schemeClr w14:val="tx1"/>
            </w14:solidFill>
          </w14:textFill>
        </w:rPr>
        <w:fldChar w:fldCharType="separate"/>
      </w:r>
      <w:r>
        <w:rPr>
          <w:rFonts w:ascii="黑体"/>
          <w:color w:val="000000" w:themeColor="text1"/>
          <w:highlight w:val="none"/>
          <w14:textFill>
            <w14:solidFill>
              <w14:schemeClr w14:val="tx1"/>
            </w14:solidFill>
          </w14:textFill>
        </w:rPr>
        <w:t>XX</w:t>
      </w:r>
      <w:r>
        <w:rPr>
          <w:rFonts w:ascii="黑体"/>
          <w:color w:val="000000" w:themeColor="text1"/>
          <w:highlight w:val="none"/>
          <w14:textFill>
            <w14:solidFill>
              <w14:schemeClr w14:val="tx1"/>
            </w14:solidFill>
          </w14:textFill>
        </w:rPr>
        <w:fldChar w:fldCharType="end"/>
      </w:r>
      <w:bookmarkEnd w:id="5"/>
      <w:r>
        <w:rPr>
          <w:color w:val="000000" w:themeColor="text1"/>
          <w:highlight w:val="none"/>
          <w14:textFill>
            <w14:solidFill>
              <w14:schemeClr w14:val="tx1"/>
            </w14:solidFill>
          </w14:textFill>
        </w:rPr>
        <w:t xml:space="preserve"> </w:t>
      </w:r>
      <w:r>
        <w:rPr>
          <w:rFonts w:ascii="黑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ascii="黑体"/>
          <w:color w:val="000000" w:themeColor="text1"/>
          <w:highlight w:val="none"/>
          <w14:textFill>
            <w14:solidFill>
              <w14:schemeClr w14:val="tx1"/>
            </w14:solidFill>
          </w14:textFill>
        </w:rPr>
        <w:fldChar w:fldCharType="begin">
          <w:ffData>
            <w:name w:val="PLSH_DATE_D"/>
            <w:enabled/>
            <w:calcOnExit w:val="0"/>
            <w:textInput>
              <w:default w:val="XX"/>
              <w:maxLength w:val="2"/>
            </w:textInput>
          </w:ffData>
        </w:fldChar>
      </w:r>
      <w:bookmarkStart w:id="6" w:name="PLSH_DATE_D"/>
      <w:r>
        <w:rPr>
          <w:rFonts w:ascii="黑体"/>
          <w:color w:val="000000" w:themeColor="text1"/>
          <w:highlight w:val="none"/>
          <w14:textFill>
            <w14:solidFill>
              <w14:schemeClr w14:val="tx1"/>
            </w14:solidFill>
          </w14:textFill>
        </w:rPr>
        <w:instrText xml:space="preserve"> FORMTEXT </w:instrText>
      </w:r>
      <w:r>
        <w:rPr>
          <w:rFonts w:ascii="黑体"/>
          <w:color w:val="000000" w:themeColor="text1"/>
          <w:highlight w:val="none"/>
          <w14:textFill>
            <w14:solidFill>
              <w14:schemeClr w14:val="tx1"/>
            </w14:solidFill>
          </w14:textFill>
        </w:rPr>
        <w:fldChar w:fldCharType="separate"/>
      </w:r>
      <w:r>
        <w:rPr>
          <w:rFonts w:ascii="黑体"/>
          <w:color w:val="000000" w:themeColor="text1"/>
          <w:highlight w:val="none"/>
          <w14:textFill>
            <w14:solidFill>
              <w14:schemeClr w14:val="tx1"/>
            </w14:solidFill>
          </w14:textFill>
        </w:rPr>
        <w:t>XX</w:t>
      </w:r>
      <w:r>
        <w:rPr>
          <w:rFonts w:ascii="黑体"/>
          <w:color w:val="000000" w:themeColor="text1"/>
          <w:highlight w:val="none"/>
          <w14:textFill>
            <w14:solidFill>
              <w14:schemeClr w14:val="tx1"/>
            </w14:solidFill>
          </w14:textFill>
        </w:rPr>
        <w:fldChar w:fldCharType="end"/>
      </w:r>
      <w:bookmarkEnd w:id="6"/>
      <w:r>
        <w:rPr>
          <w:rFonts w:hint="eastAsia"/>
          <w:color w:val="000000" w:themeColor="text1"/>
          <w:highlight w:val="none"/>
          <w14:textFill>
            <w14:solidFill>
              <w14:schemeClr w14:val="tx1"/>
            </w14:solidFill>
          </w14:textFill>
        </w:rPr>
        <w:t>发布</w:t>
      </w:r>
      <w:r>
        <w:rPr>
          <w:color w:val="000000" w:themeColor="text1"/>
          <w:sz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page">
                  <wp:posOffset>2085340</wp:posOffset>
                </wp:positionH>
                <wp:positionV relativeFrom="page">
                  <wp:posOffset>9738360</wp:posOffset>
                </wp:positionV>
                <wp:extent cx="2346325" cy="234950"/>
                <wp:effectExtent l="0" t="0" r="3175" b="6350"/>
                <wp:wrapNone/>
                <wp:docPr id="11" name="首页自画框图11"/>
                <wp:cNvGraphicFramePr/>
                <a:graphic xmlns:a="http://schemas.openxmlformats.org/drawingml/2006/main">
                  <a:graphicData uri="http://schemas.microsoft.com/office/word/2010/wordprocessingShape">
                    <wps:wsp>
                      <wps:cNvSpPr txBox="1"/>
                      <wps:spPr>
                        <a:xfrm>
                          <a:off x="0" y="0"/>
                          <a:ext cx="2346325" cy="234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49"/>
                              <w:rPr>
                                <w:rFonts w:hint="default"/>
                              </w:rPr>
                            </w:pPr>
                            <w:r>
                              <w:t>重庆市市场监督管理局</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4.2pt;margin-top:766.8pt;height:18.5pt;width:184.75pt;mso-position-horizontal-relative:page;mso-position-vertical-relative:page;z-index:251663360;mso-width-relative:page;mso-height-relative:page;" fillcolor="#FFFFFF [3201]" filled="t" stroked="f" coordsize="21600,21600" o:gfxdata="UEsDBAoAAAAAAIdO4kAAAAAAAAAAAAAAAAAEAAAAZHJzL1BLAwQUAAAACACHTuJAA/3BUtkAAAAN&#10;AQAADwAAAGRycy9kb3ducmV2LnhtbE2Py3KDMAxF953pP3iUme4aE2ghoZgs2uYDSrro0sEKkGCZ&#10;YOfB31dZtUvpnrk6KtY324sLjr5zpGAxj0Ag1c501Cj43m6elyB80GR07wgVTOhhXT4+FDo37kpf&#10;eKlCI7iEfK4VtCEMuZS+btFqP3cDEmd7N1odeBwbaUZ95XLbyziKUml1R3yh1QO+t1gfq7NVYLL4&#10;VIdjNVWHzZ5O0+e2GX4+lHqaLaI3EAFv4Q+Guz6rQ8lOO3cm40WvIImXL4xy8JokKQhG0lW2ArG7&#10;r7IoBVkW8v8X5S9QSwMEFAAAAAgAh07iQJCCuAw6AgAAOwQAAA4AAABkcnMvZTJvRG9jLnhtbK1T&#10;y24TMRTdI/EPlvd00oRWEHVShVZBSBWtFBBrx+NJRvL4GtvJTPkA+AHUDatuWLBnhcTf8OhfcOzJ&#10;pLxWiFl4rn2f59x7j47bWrONcr4ik/P9vQFnykgqKrPM+fNns3sPOPNBmEJoMirnl8rz48ndO0eN&#10;HashrUgXyjEEMX7c2JyvQrDjLPNypWrh98gqA2VJrhYBV7fMCicaRK91NhwMDrOGXGEdSeU9Xk87&#10;JZ+k+GWpZDgvS68C0zlHbSGdLp2LeGaTIzFeOmFXldyWIf6hilpUBkl3oU5FEGztqj9C1ZV05KkM&#10;e5LqjMqykiphAJr9wW9o5ithVcICcrzd0eT/X1j5dHPhWFWgd/ucGVGjRzfvr26uP35/8+Hb209f&#10;r19/efcZOhDVWD+G/dzCI7SPqIVT/+7xGPG3pavjH8gY9KD8ckezagOTeByO7h+OhgecSehweXiQ&#10;+pDdelvnw2NFNYtCzh3amNgVmzMfUAlMe5OYzJOuilmldbq45eJEO7YRaPksfbFIuPxipg1rcn44&#10;Qu7oZSj6d3bawDyC7UBFKbSLdsvAgopLEOComyVv5axClWfChwvhMDzAjIUI5zhKTUhCW4mzFblX&#10;f3uP9ugptJw1GMac+5dr4RRn+olBt+Pk9oLrhUUvmHV9QgCLBqKaJMLBBd2LpaP6BfZkGrNAJYxE&#10;rpyHXjwJ3Upgz6SaTpMR5tOKcGbmVsbQHUnTdaCySi2ItHRcbNnChCaat9sUV+Dne7K63fnJ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P9wVLZAAAADQEAAA8AAAAAAAAAAQAgAAAAIgAAAGRycy9k&#10;b3ducmV2LnhtbFBLAQIUABQAAAAIAIdO4kCQgrgMOgIAADsEAAAOAAAAAAAAAAEAIAAAACgBAABk&#10;cnMvZTJvRG9jLnhtbFBLBQYAAAAABgAGAFkBAADUBQAAAAA=&#10;">
                <v:fill on="t" focussize="0,0"/>
                <v:stroke on="f" weight="0.5pt"/>
                <v:imagedata o:title=""/>
                <o:lock v:ext="edit" aspectratio="f"/>
                <v:textbox inset="0mm,0mm,0mm,0mm">
                  <w:txbxContent>
                    <w:p>
                      <w:pPr>
                        <w:pStyle w:val="249"/>
                        <w:rPr>
                          <w:rFonts w:hint="default"/>
                        </w:rPr>
                      </w:pPr>
                      <w:r>
                        <w:t>重庆市市场监督管理局</w:t>
                      </w:r>
                    </w:p>
                  </w:txbxContent>
                </v:textbox>
              </v:shape>
            </w:pict>
          </mc:Fallback>
        </mc:AlternateContent>
      </w:r>
      <w:r>
        <w:rPr>
          <w:rFonts w:hint="eastAsia" w:ascii="宋体" w:hAnsi="宋体"/>
          <w:color w:val="000000" w:themeColor="text1"/>
          <w:szCs w:val="28"/>
          <w:highlight w:val="none"/>
          <w14:textFill>
            <w14:solidFill>
              <w14:schemeClr w14:val="tx1"/>
            </w14:solidFill>
          </w14:textFill>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DwxhcxxwEAAFwDAAAOAAAAZHJzL2Uyb0RvYy54bWytU0uO&#10;EzEQ3SNxB8t70klQRtBKZxYZDZsBIs1wgIrtTlvYLst20p1LcAEkdrBiyZ7bzHAMys6HAXaIXpTa&#10;9Xmu96o8vxysYTsVokbX8MlozJlyAqV2m4a/u7t+9oKzmMBJMOhUw/cq8svF0yfz3tdqih0aqQIj&#10;EBfr3je8S8nXVRVFpyzEEXrlKNhisJDoGDaVDNATujXVdDy+qHoM0gcUKkbyXh2CfFHw21aJ9LZt&#10;o0rMNJx6S8WGYtfZVos51JsAvtPi2Ab8QxcWtKNLz1BXkIBtg/4LymoRMGKbRgJthW2rhSociM1k&#10;/Aeb2w68KlxInOjPMsX/Byve7FaBadnwGWcOLI3o4eO3+w+ff3z/RPbh6xc2yyL1PtaUu3SrkGmK&#10;wd36GxTvI3O47MBtVGn2bu8JYZIrqt9K8iF6umrdv0ZJObBNWBQb2mAzJGnBhjKY/XkwakhMkPNi&#10;Quo8p/mJU6yC+lToQ0yvFFqWfxputMuaQQ27m5hyI1CfUrLb4bU2pszdONY3/OVsOisFEY2WOZjT&#10;YtislyawHeTNKV9hRZHHaQG3Th4uMe5IOvM8KLZGuV+Fkxg0wtLNcd3yjjw+l+pfj2L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szHPvXAAAADgEAAA8AAAAAAAAAAQAgAAAAIgAAAGRycy9kb3du&#10;cmV2LnhtbFBLAQIUABQAAAAIAIdO4kDwxhcxxwEAAFwDAAAOAAAAAAAAAAEAIAAAACYBAABkcnMv&#10;ZTJvRG9jLnhtbFBLBQYAAAAABgAGAFkBAABfBQAAAAA=&#10;">
                <v:fill on="f" focussize="0,0"/>
                <v:stroke color="#000000" joinstyle="round"/>
                <v:imagedata o:title=""/>
                <o:lock v:ext="edit" aspectratio="f"/>
                <w10:anchorlock/>
              </v:line>
            </w:pict>
          </mc:Fallback>
        </mc:AlternateContent>
      </w:r>
    </w:p>
    <w:p>
      <w:pPr>
        <w:pStyle w:val="198"/>
        <w:framePr w:y="14176"/>
        <w:rPr>
          <w:color w:val="000000" w:themeColor="text1"/>
          <w:highlight w:val="none"/>
          <w14:textFill>
            <w14:solidFill>
              <w14:schemeClr w14:val="tx1"/>
            </w14:solidFill>
          </w14:textFill>
        </w:rPr>
      </w:pPr>
      <w:r>
        <w:rPr>
          <w:rFonts w:ascii="黑体"/>
          <w:color w:val="000000" w:themeColor="text1"/>
          <w:highlight w:val="none"/>
          <w14:textFill>
            <w14:solidFill>
              <w14:schemeClr w14:val="tx1"/>
            </w14:solidFill>
          </w14:textFill>
        </w:rPr>
        <w:fldChar w:fldCharType="begin">
          <w:ffData>
            <w:name w:val="CROT_DATE_Y"/>
            <w:enabled/>
            <w:calcOnExit w:val="0"/>
            <w:textInput>
              <w:default w:val="XXXX"/>
              <w:maxLength w:val="4"/>
            </w:textInput>
          </w:ffData>
        </w:fldChar>
      </w:r>
      <w:bookmarkStart w:id="7" w:name="CROT_DATE_Y"/>
      <w:r>
        <w:rPr>
          <w:rFonts w:ascii="黑体"/>
          <w:color w:val="000000" w:themeColor="text1"/>
          <w:highlight w:val="none"/>
          <w14:textFill>
            <w14:solidFill>
              <w14:schemeClr w14:val="tx1"/>
            </w14:solidFill>
          </w14:textFill>
        </w:rPr>
        <w:instrText xml:space="preserve"> FORMTEXT </w:instrText>
      </w:r>
      <w:r>
        <w:rPr>
          <w:rFonts w:ascii="黑体"/>
          <w:color w:val="000000" w:themeColor="text1"/>
          <w:highlight w:val="none"/>
          <w14:textFill>
            <w14:solidFill>
              <w14:schemeClr w14:val="tx1"/>
            </w14:solidFill>
          </w14:textFill>
        </w:rPr>
        <w:fldChar w:fldCharType="separate"/>
      </w:r>
      <w:r>
        <w:rPr>
          <w:rFonts w:ascii="黑体"/>
          <w:color w:val="000000" w:themeColor="text1"/>
          <w:highlight w:val="none"/>
          <w14:textFill>
            <w14:solidFill>
              <w14:schemeClr w14:val="tx1"/>
            </w14:solidFill>
          </w14:textFill>
        </w:rPr>
        <w:t>202X</w:t>
      </w:r>
      <w:r>
        <w:rPr>
          <w:rFonts w:ascii="黑体"/>
          <w:color w:val="000000" w:themeColor="text1"/>
          <w:highlight w:val="none"/>
          <w14:textFill>
            <w14:solidFill>
              <w14:schemeClr w14:val="tx1"/>
            </w14:solidFill>
          </w14:textFill>
        </w:rPr>
        <w:fldChar w:fldCharType="end"/>
      </w:r>
      <w:bookmarkEnd w:id="7"/>
      <w:r>
        <w:rPr>
          <w:color w:val="000000" w:themeColor="text1"/>
          <w:highlight w:val="none"/>
          <w14:textFill>
            <w14:solidFill>
              <w14:schemeClr w14:val="tx1"/>
            </w14:solidFill>
          </w14:textFill>
        </w:rPr>
        <w:t xml:space="preserve"> </w:t>
      </w:r>
      <w:r>
        <w:rPr>
          <w:rFonts w:ascii="黑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ascii="黑体"/>
          <w:color w:val="000000" w:themeColor="text1"/>
          <w:highlight w:val="none"/>
          <w14:textFill>
            <w14:solidFill>
              <w14:schemeClr w14:val="tx1"/>
            </w14:solidFill>
          </w14:textFill>
        </w:rPr>
        <w:fldChar w:fldCharType="begin">
          <w:ffData>
            <w:name w:val="CROT_DATE_M"/>
            <w:enabled/>
            <w:calcOnExit w:val="0"/>
            <w:textInput>
              <w:default w:val="XX"/>
              <w:maxLength w:val="2"/>
            </w:textInput>
          </w:ffData>
        </w:fldChar>
      </w:r>
      <w:bookmarkStart w:id="8" w:name="CROT_DATE_M"/>
      <w:r>
        <w:rPr>
          <w:rFonts w:ascii="黑体"/>
          <w:color w:val="000000" w:themeColor="text1"/>
          <w:highlight w:val="none"/>
          <w14:textFill>
            <w14:solidFill>
              <w14:schemeClr w14:val="tx1"/>
            </w14:solidFill>
          </w14:textFill>
        </w:rPr>
        <w:instrText xml:space="preserve"> FORMTEXT </w:instrText>
      </w:r>
      <w:r>
        <w:rPr>
          <w:rFonts w:ascii="黑体"/>
          <w:color w:val="000000" w:themeColor="text1"/>
          <w:highlight w:val="none"/>
          <w14:textFill>
            <w14:solidFill>
              <w14:schemeClr w14:val="tx1"/>
            </w14:solidFill>
          </w14:textFill>
        </w:rPr>
        <w:fldChar w:fldCharType="separate"/>
      </w:r>
      <w:r>
        <w:rPr>
          <w:rFonts w:ascii="黑体"/>
          <w:color w:val="000000" w:themeColor="text1"/>
          <w:highlight w:val="none"/>
          <w14:textFill>
            <w14:solidFill>
              <w14:schemeClr w14:val="tx1"/>
            </w14:solidFill>
          </w14:textFill>
        </w:rPr>
        <w:t>XX</w:t>
      </w:r>
      <w:r>
        <w:rPr>
          <w:rFonts w:ascii="黑体"/>
          <w:color w:val="000000" w:themeColor="text1"/>
          <w:highlight w:val="none"/>
          <w14:textFill>
            <w14:solidFill>
              <w14:schemeClr w14:val="tx1"/>
            </w14:solidFill>
          </w14:textFill>
        </w:rPr>
        <w:fldChar w:fldCharType="end"/>
      </w:r>
      <w:bookmarkEnd w:id="8"/>
      <w:r>
        <w:rPr>
          <w:color w:val="000000" w:themeColor="text1"/>
          <w:highlight w:val="none"/>
          <w14:textFill>
            <w14:solidFill>
              <w14:schemeClr w14:val="tx1"/>
            </w14:solidFill>
          </w14:textFill>
        </w:rPr>
        <w:t xml:space="preserve"> </w:t>
      </w:r>
      <w:r>
        <w:rPr>
          <w:rFonts w:ascii="黑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ascii="黑体"/>
          <w:color w:val="000000" w:themeColor="text1"/>
          <w:highlight w:val="none"/>
          <w14:textFill>
            <w14:solidFill>
              <w14:schemeClr w14:val="tx1"/>
            </w14:solidFill>
          </w14:textFill>
        </w:rPr>
        <w:fldChar w:fldCharType="begin">
          <w:ffData>
            <w:name w:val="CROT_DATE_D"/>
            <w:enabled/>
            <w:calcOnExit w:val="0"/>
            <w:textInput>
              <w:default w:val="XX"/>
              <w:maxLength w:val="2"/>
            </w:textInput>
          </w:ffData>
        </w:fldChar>
      </w:r>
      <w:bookmarkStart w:id="9" w:name="CROT_DATE_D"/>
      <w:r>
        <w:rPr>
          <w:rFonts w:ascii="黑体"/>
          <w:color w:val="000000" w:themeColor="text1"/>
          <w:highlight w:val="none"/>
          <w14:textFill>
            <w14:solidFill>
              <w14:schemeClr w14:val="tx1"/>
            </w14:solidFill>
          </w14:textFill>
        </w:rPr>
        <w:instrText xml:space="preserve"> FORMTEXT </w:instrText>
      </w:r>
      <w:r>
        <w:rPr>
          <w:rFonts w:ascii="黑体"/>
          <w:color w:val="000000" w:themeColor="text1"/>
          <w:highlight w:val="none"/>
          <w14:textFill>
            <w14:solidFill>
              <w14:schemeClr w14:val="tx1"/>
            </w14:solidFill>
          </w14:textFill>
        </w:rPr>
        <w:fldChar w:fldCharType="separate"/>
      </w:r>
      <w:r>
        <w:rPr>
          <w:rFonts w:ascii="黑体"/>
          <w:color w:val="000000" w:themeColor="text1"/>
          <w:highlight w:val="none"/>
          <w14:textFill>
            <w14:solidFill>
              <w14:schemeClr w14:val="tx1"/>
            </w14:solidFill>
          </w14:textFill>
        </w:rPr>
        <w:t>XX</w:t>
      </w:r>
      <w:r>
        <w:rPr>
          <w:rFonts w:ascii="黑体"/>
          <w:color w:val="000000" w:themeColor="text1"/>
          <w:highlight w:val="none"/>
          <w14:textFill>
            <w14:solidFill>
              <w14:schemeClr w14:val="tx1"/>
            </w14:solidFill>
          </w14:textFill>
        </w:rPr>
        <w:fldChar w:fldCharType="end"/>
      </w:r>
      <w:bookmarkEnd w:id="9"/>
      <w:r>
        <w:rPr>
          <w:rFonts w:hint="eastAsia"/>
          <w:color w:val="000000" w:themeColor="text1"/>
          <w:highlight w:val="none"/>
          <w14:textFill>
            <w14:solidFill>
              <w14:schemeClr w14:val="tx1"/>
            </w14:solidFill>
          </w14:textFill>
        </w:rPr>
        <w:t>实施</w:t>
      </w:r>
    </w:p>
    <w:p>
      <w:pPr>
        <w:rPr>
          <w:rFonts w:ascii="宋体" w:hAnsi="宋体"/>
          <w:color w:val="000000" w:themeColor="text1"/>
          <w:sz w:val="28"/>
          <w:szCs w:val="28"/>
          <w:highlight w:val="none"/>
          <w14:textFill>
            <w14:solidFill>
              <w14:schemeClr w14:val="tx1"/>
            </w14:solidFill>
          </w14:textFill>
        </w:rPr>
        <w:sectPr>
          <w:headerReference r:id="rId4" w:type="first"/>
          <w:footerReference r:id="rId6" w:type="first"/>
          <w:headerReference r:id="rId3" w:type="default"/>
          <w:footerReference r:id="rId5" w:type="even"/>
          <w:type w:val="continuous"/>
          <w:pgSz w:w="11906" w:h="16838"/>
          <w:pgMar w:top="-338" w:right="1134" w:bottom="1021" w:left="1134" w:header="0" w:footer="0" w:gutter="284"/>
          <w:cols w:space="425"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page">
                  <wp:posOffset>4441190</wp:posOffset>
                </wp:positionH>
                <wp:positionV relativeFrom="page">
                  <wp:posOffset>9758680</wp:posOffset>
                </wp:positionV>
                <wp:extent cx="1045210" cy="184150"/>
                <wp:effectExtent l="0" t="0" r="8890" b="6350"/>
                <wp:wrapNone/>
                <wp:docPr id="12" name="首页自画框图12"/>
                <wp:cNvGraphicFramePr/>
                <a:graphic xmlns:a="http://schemas.openxmlformats.org/drawingml/2006/main">
                  <a:graphicData uri="http://schemas.microsoft.com/office/word/2010/wordprocessingShape">
                    <wps:wsp>
                      <wps:cNvSpPr txBox="1"/>
                      <wps:spPr>
                        <a:xfrm>
                          <a:off x="0" y="0"/>
                          <a:ext cx="1045210" cy="184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50"/>
                            </w:pPr>
                            <w:r>
                              <w:rPr>
                                <w:rFonts w:ascii="黑体"/>
                                <w:color w:val="000000" w:themeColor="text1"/>
                                <w:highlight w:val="none"/>
                                <w14:textFill>
                                  <w14:solidFill>
                                    <w14:schemeClr w14:val="tx1"/>
                                  </w14:solidFill>
                                </w14:textFill>
                              </w:rPr>
                              <w:fldChar w:fldCharType="begin">
                                <w:ffData>
                                  <w:name w:val="CROT_DATE_M"/>
                                  <w:enabled/>
                                  <w:calcOnExit w:val="0"/>
                                  <w:textInput>
                                    <w:default w:val="XX"/>
                                    <w:maxLength w:val="2"/>
                                  </w:textInput>
                                </w:ffData>
                              </w:fldChar>
                            </w:r>
                            <w:r>
                              <w:rPr>
                                <w:rFonts w:ascii="黑体"/>
                                <w:color w:val="000000" w:themeColor="text1"/>
                                <w:highlight w:val="none"/>
                                <w14:textFill>
                                  <w14:solidFill>
                                    <w14:schemeClr w14:val="tx1"/>
                                  </w14:solidFill>
                                </w14:textFill>
                              </w:rPr>
                              <w:instrText xml:space="preserve"> FORMTEXT </w:instrText>
                            </w:r>
                            <w:r>
                              <w:rPr>
                                <w:rFonts w:ascii="黑体"/>
                                <w:color w:val="000000" w:themeColor="text1"/>
                                <w:highlight w:val="none"/>
                                <w14:textFill>
                                  <w14:solidFill>
                                    <w14:schemeClr w14:val="tx1"/>
                                  </w14:solidFill>
                                </w14:textFill>
                              </w:rPr>
                              <w:fldChar w:fldCharType="separate"/>
                            </w:r>
                            <w:r>
                              <w:rPr>
                                <w:rFonts w:ascii="黑体"/>
                                <w:color w:val="000000" w:themeColor="text1"/>
                                <w:highlight w:val="none"/>
                                <w14:textFill>
                                  <w14:solidFill>
                                    <w14:schemeClr w14:val="tx1"/>
                                  </w14:solidFill>
                                </w14:textFill>
                              </w:rPr>
                              <w:t>XX</w:t>
                            </w:r>
                            <w:r>
                              <w:rPr>
                                <w:rFonts w:ascii="黑体"/>
                                <w:color w:val="000000" w:themeColor="text1"/>
                                <w:highlight w:val="none"/>
                                <w14:textFill>
                                  <w14:solidFill>
                                    <w14:schemeClr w14:val="tx1"/>
                                  </w14:solidFill>
                                </w14:textFill>
                              </w:rPr>
                              <w:fldChar w:fldCharType="end"/>
                            </w: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49.7pt;margin-top:768.4pt;height:14.5pt;width:82.3pt;mso-position-horizontal-relative:page;mso-position-vertical-relative:page;z-index:251664384;mso-width-relative:page;mso-height-relative:page;" fillcolor="#FFFFFF [3201]" filled="t" stroked="f" coordsize="21600,21600" o:gfxdata="UEsDBAoAAAAAAIdO4kAAAAAAAAAAAAAAAAAEAAAAZHJzL1BLAwQUAAAACACHTuJAWE/b+9kAAAAN&#10;AQAADwAAAGRycy9kb3ducmV2LnhtbE2PvXLCMBCE+8zkHTSXmXRBhoBijGWKJDxATIqUwjpsg3Uy&#10;lvjx2+eokvJ2v9nbzdc314kLDqH1pGE6SUAgVd62VGv43m5eUhAhGrKm84QaRgywLh4fcpNZf6Uv&#10;vJSxFhxCITMamhj7TMpQNehMmPgeib29H5yJfA61tIO5crjr5CxJlHSmJf7QmB7fG6yO5dlpsG+z&#10;UxWP5VgeNns6jZ/buv/50Pr5aZqsQES8xT8Y7vW5OhTcaefPZIPoNKjlcs4oG4tXxSMYSdWc5+3u&#10;klqkIItc/l9R/AJQSwMEFAAAAAgAh07iQG9dY8M7AgAAOwQAAA4AAABkcnMvZTJvRG9jLnhtbK1T&#10;y24TMRTdI/EPlvd0ktBWVdRJFVIFIVW0UkGsHY8nGcnja2wnM+UD4AcQm666YcGeFRJ/w6N/wbEn&#10;k/JaIWbhufZ9nnPvPT5pa802yvmKTM6HewPOlJFUVGaZ8+fP5g+OOPNBmEJoMirnV8rzk8n9e8eN&#10;HasRrUgXyjEEMX7c2JyvQrDjLPNypWrh98gqA2VJrhYBV7fMCicaRK91NhoMDrOGXGEdSeU9Xk87&#10;JZ+k+GWpZDgvS68C0zlHbSGdLp2LeGaTYzFeOmFXldyWIf6hilpUBkl3oU5FEGztqj9C1ZV05KkM&#10;e5LqjMqykiphAJrh4Dc0lythVcICcrzd0eT/X1j5dHPhWFWgdyPOjKjRo9v3725vPn5/8+Hb209f&#10;b15/uf4MHYhqrB/D/tLCI7SPqIVT/+7xGPG3pavjH8gY9KD8akezagOT0WmwfzAaQiWhGx7tDw9S&#10;H7I7b+t8eKyoZlHIuUMbE7tic+YDKoFpbxKTedJVMa+0The3XMy0YxuBls/TF4uEyy9m2rAm54cP&#10;kTt6GYr+nZ02MI9gO1BRCu2i3TKwoOIKBDjqZslbOa9Q5Znw4UI4DA+AYSHCOY5SE5LQVuJsRe7V&#10;396jPXoKLWcNhjHn/uVaOMWZfmLQ7Ti5veB6YdELZl3PCGCHWDUrkwgHF3Qvlo7qF9iTacwClTAS&#10;uXIeenEWupXAnkk1nSYjzKcV4cxcWhlDdyRN14HKKrUg0tJxsWULE5po3m5TXIGf78nqbucn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YT9v72QAAAA0BAAAPAAAAAAAAAAEAIAAAACIAAABkcnMv&#10;ZG93bnJldi54bWxQSwECFAAUAAAACACHTuJAb11jwzsCAAA7BAAADgAAAAAAAAABACAAAAAoAQAA&#10;ZHJzL2Uyb0RvYy54bWxQSwUGAAAAAAYABgBZAQAA1QUAAAAA&#10;">
                <v:fill on="t" focussize="0,0"/>
                <v:stroke on="f" weight="0.5pt"/>
                <v:imagedata o:title=""/>
                <o:lock v:ext="edit" aspectratio="f"/>
                <v:textbox inset="0mm,0mm,0mm,0mm">
                  <w:txbxContent>
                    <w:p>
                      <w:pPr>
                        <w:pStyle w:val="250"/>
                      </w:pPr>
                      <w:r>
                        <w:rPr>
                          <w:rFonts w:ascii="黑体"/>
                          <w:color w:val="000000" w:themeColor="text1"/>
                          <w:highlight w:val="none"/>
                          <w14:textFill>
                            <w14:solidFill>
                              <w14:schemeClr w14:val="tx1"/>
                            </w14:solidFill>
                          </w14:textFill>
                        </w:rPr>
                        <w:fldChar w:fldCharType="begin">
                          <w:ffData>
                            <w:name w:val="CROT_DATE_M"/>
                            <w:enabled/>
                            <w:calcOnExit w:val="0"/>
                            <w:textInput>
                              <w:default w:val="XX"/>
                              <w:maxLength w:val="2"/>
                            </w:textInput>
                          </w:ffData>
                        </w:fldChar>
                      </w:r>
                      <w:r>
                        <w:rPr>
                          <w:rFonts w:ascii="黑体"/>
                          <w:color w:val="000000" w:themeColor="text1"/>
                          <w:highlight w:val="none"/>
                          <w14:textFill>
                            <w14:solidFill>
                              <w14:schemeClr w14:val="tx1"/>
                            </w14:solidFill>
                          </w14:textFill>
                        </w:rPr>
                        <w:instrText xml:space="preserve"> FORMTEXT </w:instrText>
                      </w:r>
                      <w:r>
                        <w:rPr>
                          <w:rFonts w:ascii="黑体"/>
                          <w:color w:val="000000" w:themeColor="text1"/>
                          <w:highlight w:val="none"/>
                          <w14:textFill>
                            <w14:solidFill>
                              <w14:schemeClr w14:val="tx1"/>
                            </w14:solidFill>
                          </w14:textFill>
                        </w:rPr>
                        <w:fldChar w:fldCharType="separate"/>
                      </w:r>
                      <w:r>
                        <w:rPr>
                          <w:rFonts w:ascii="黑体"/>
                          <w:color w:val="000000" w:themeColor="text1"/>
                          <w:highlight w:val="none"/>
                          <w14:textFill>
                            <w14:solidFill>
                              <w14:schemeClr w14:val="tx1"/>
                            </w14:solidFill>
                          </w14:textFill>
                        </w:rPr>
                        <w:t>XX</w:t>
                      </w:r>
                      <w:r>
                        <w:rPr>
                          <w:rFonts w:ascii="黑体"/>
                          <w:color w:val="000000" w:themeColor="text1"/>
                          <w:highlight w:val="none"/>
                          <w14:textFill>
                            <w14:solidFill>
                              <w14:schemeClr w14:val="tx1"/>
                            </w14:solidFill>
                          </w14:textFill>
                        </w:rPr>
                        <w:fldChar w:fldCharType="end"/>
                      </w:r>
                      <w:r>
                        <w:rPr>
                          <w:rFonts w:hint="eastAsia"/>
                        </w:rPr>
                        <w:t>发 布</w:t>
                      </w:r>
                    </w:p>
                  </w:txbxContent>
                </v:textbox>
              </v:shape>
            </w:pict>
          </mc:Fallback>
        </mc:AlternateContent>
      </w:r>
    </w:p>
    <w:p>
      <w:pPr>
        <w:pStyle w:val="94"/>
        <w:spacing w:after="468"/>
        <w:rPr>
          <w:color w:val="000000" w:themeColor="text1"/>
          <w:highlight w:val="none"/>
          <w14:textFill>
            <w14:solidFill>
              <w14:schemeClr w14:val="tx1"/>
            </w14:solidFill>
          </w14:textFill>
        </w:rPr>
      </w:pPr>
      <w:bookmarkStart w:id="10" w:name="BookMark1"/>
      <w:r>
        <w:rPr>
          <w:color w:val="000000" w:themeColor="text1"/>
          <w:spacing w:val="320"/>
          <w:highlight w:val="none"/>
          <w14:textFill>
            <w14:solidFill>
              <w14:schemeClr w14:val="tx1"/>
            </w14:solidFill>
          </w14:textFill>
        </w:rPr>
        <w:t>目</w:t>
      </w:r>
      <w:r>
        <w:rPr>
          <w:color w:val="000000" w:themeColor="text1"/>
          <w:highlight w:val="none"/>
          <w14:textFill>
            <w14:solidFill>
              <w14:schemeClr w14:val="tx1"/>
            </w14:solidFill>
          </w14:textFill>
        </w:rPr>
        <w:t>次</w:t>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560" w:lineRule="exact"/>
        <w:ind w:left="0" w:leftChars="0" w:right="0" w:rightChars="0" w:firstLine="0" w:firstLineChars="0"/>
        <w:jc w:val="both"/>
        <w:textAlignment w:val="auto"/>
        <w:outlineLvl w:val="9"/>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"1-1" \h \t "标准文件_一级条标题,2,标准文件_附录一级条标题,2,"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highlight w:val="none"/>
        </w:rPr>
        <w:instrText xml:space="preserve"> HYPERLINK \l _Toc31022 </w:instrText>
      </w:r>
      <w:r>
        <w:rPr>
          <w:highlight w:val="none"/>
        </w:rPr>
        <w:fldChar w:fldCharType="separate"/>
      </w:r>
      <w:r>
        <w:rPr>
          <w:rFonts w:ascii="Times New Roman"/>
          <w:highlight w:val="none"/>
        </w:rPr>
        <w:t>前言</w:t>
      </w:r>
      <w:r>
        <w:tab/>
      </w:r>
      <w:r>
        <w:fldChar w:fldCharType="begin"/>
      </w:r>
      <w:r>
        <w:instrText xml:space="preserve"> PAGEREF _Toc31022 </w:instrText>
      </w:r>
      <w:r>
        <w:fldChar w:fldCharType="separate"/>
      </w:r>
      <w:r>
        <w:t>1</w:t>
      </w:r>
      <w:r>
        <w:fldChar w:fldCharType="end"/>
      </w:r>
      <w:r>
        <w:rPr>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560" w:lineRule="exact"/>
        <w:ind w:left="0" w:leftChars="0" w:right="0" w:rightChars="0" w:firstLine="0" w:firstLineChars="0"/>
        <w:jc w:val="both"/>
        <w:textAlignment w:val="auto"/>
        <w:outlineLvl w:val="9"/>
      </w:pPr>
      <w:r>
        <w:rPr>
          <w:color w:val="000000" w:themeColor="text1"/>
          <w:highlight w:val="none"/>
          <w14:textFill>
            <w14:solidFill>
              <w14:schemeClr w14:val="tx1"/>
            </w14:solidFill>
          </w14:textFill>
        </w:rPr>
        <w:fldChar w:fldCharType="begin"/>
      </w:r>
      <w:r>
        <w:rPr>
          <w:highlight w:val="none"/>
        </w:rPr>
        <w:instrText xml:space="preserve"> HYPERLINK \l _Toc3695 </w:instrText>
      </w:r>
      <w:r>
        <w:rPr>
          <w:highlight w:val="none"/>
        </w:rPr>
        <w:fldChar w:fldCharType="separate"/>
      </w:r>
      <w:r>
        <w:rPr>
          <w:rFonts w:hint="eastAsia" w:ascii="黑体" w:eastAsia="黑体"/>
          <w:i w:val="0"/>
        </w:rPr>
        <w:t xml:space="preserve">1 </w:t>
      </w:r>
      <w:r>
        <w:rPr>
          <w:rFonts w:hint="eastAsia"/>
          <w:highlight w:val="none"/>
        </w:rPr>
        <w:t>范围</w:t>
      </w:r>
      <w:r>
        <w:tab/>
      </w:r>
      <w:r>
        <w:fldChar w:fldCharType="begin"/>
      </w:r>
      <w:r>
        <w:instrText xml:space="preserve"> PAGEREF _Toc3695 </w:instrText>
      </w:r>
      <w:r>
        <w:fldChar w:fldCharType="separate"/>
      </w:r>
      <w:r>
        <w:t>2</w:t>
      </w:r>
      <w:r>
        <w:fldChar w:fldCharType="end"/>
      </w:r>
      <w:r>
        <w:rPr>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560" w:lineRule="exact"/>
        <w:ind w:left="0" w:leftChars="0" w:right="0" w:rightChars="0" w:firstLine="0" w:firstLineChars="0"/>
        <w:jc w:val="both"/>
        <w:textAlignment w:val="auto"/>
        <w:outlineLvl w:val="9"/>
      </w:pPr>
      <w:r>
        <w:rPr>
          <w:color w:val="000000" w:themeColor="text1"/>
          <w:highlight w:val="none"/>
          <w14:textFill>
            <w14:solidFill>
              <w14:schemeClr w14:val="tx1"/>
            </w14:solidFill>
          </w14:textFill>
        </w:rPr>
        <w:fldChar w:fldCharType="begin"/>
      </w:r>
      <w:r>
        <w:rPr>
          <w:highlight w:val="none"/>
        </w:rPr>
        <w:instrText xml:space="preserve"> HYPERLINK \l _Toc20638 </w:instrText>
      </w:r>
      <w:r>
        <w:rPr>
          <w:highlight w:val="none"/>
        </w:rPr>
        <w:fldChar w:fldCharType="separate"/>
      </w:r>
      <w:r>
        <w:rPr>
          <w:rFonts w:hint="eastAsia" w:ascii="黑体" w:eastAsia="黑体"/>
          <w:i w:val="0"/>
        </w:rPr>
        <w:t xml:space="preserve">2 </w:t>
      </w:r>
      <w:r>
        <w:rPr>
          <w:rFonts w:hint="eastAsia"/>
          <w:highlight w:val="none"/>
        </w:rPr>
        <w:t>规范性引用文件</w:t>
      </w:r>
      <w:r>
        <w:tab/>
      </w:r>
      <w:r>
        <w:fldChar w:fldCharType="begin"/>
      </w:r>
      <w:r>
        <w:instrText xml:space="preserve"> PAGEREF _Toc20638 </w:instrText>
      </w:r>
      <w:r>
        <w:fldChar w:fldCharType="separate"/>
      </w:r>
      <w:r>
        <w:t>2</w:t>
      </w:r>
      <w:r>
        <w:fldChar w:fldCharType="end"/>
      </w:r>
      <w:r>
        <w:rPr>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560" w:lineRule="exact"/>
        <w:ind w:left="0" w:leftChars="0" w:right="0" w:rightChars="0" w:firstLine="0" w:firstLineChars="0"/>
        <w:jc w:val="both"/>
        <w:textAlignment w:val="auto"/>
        <w:outlineLvl w:val="9"/>
      </w:pPr>
      <w:r>
        <w:rPr>
          <w:color w:val="000000" w:themeColor="text1"/>
          <w:highlight w:val="none"/>
          <w14:textFill>
            <w14:solidFill>
              <w14:schemeClr w14:val="tx1"/>
            </w14:solidFill>
          </w14:textFill>
        </w:rPr>
        <w:fldChar w:fldCharType="begin"/>
      </w:r>
      <w:r>
        <w:rPr>
          <w:highlight w:val="none"/>
        </w:rPr>
        <w:instrText xml:space="preserve"> HYPERLINK \l _Toc810 </w:instrText>
      </w:r>
      <w:r>
        <w:rPr>
          <w:highlight w:val="none"/>
        </w:rPr>
        <w:fldChar w:fldCharType="separate"/>
      </w:r>
      <w:r>
        <w:rPr>
          <w:rFonts w:hint="eastAsia" w:ascii="黑体" w:eastAsia="黑体"/>
          <w:i w:val="0"/>
        </w:rPr>
        <w:t xml:space="preserve">3 </w:t>
      </w:r>
      <w:r>
        <w:rPr>
          <w:rFonts w:hint="eastAsia"/>
          <w:highlight w:val="none"/>
        </w:rPr>
        <w:t>术语和定义</w:t>
      </w:r>
      <w:r>
        <w:tab/>
      </w:r>
      <w:r>
        <w:fldChar w:fldCharType="begin"/>
      </w:r>
      <w:r>
        <w:instrText xml:space="preserve"> PAGEREF _Toc810 </w:instrText>
      </w:r>
      <w:r>
        <w:fldChar w:fldCharType="separate"/>
      </w:r>
      <w:r>
        <w:t>2</w:t>
      </w:r>
      <w:r>
        <w:fldChar w:fldCharType="end"/>
      </w:r>
      <w:r>
        <w:rPr>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560" w:lineRule="exact"/>
        <w:ind w:left="0" w:leftChars="0" w:right="0" w:rightChars="0" w:firstLine="0" w:firstLineChars="0"/>
        <w:jc w:val="both"/>
        <w:textAlignment w:val="auto"/>
        <w:outlineLvl w:val="9"/>
      </w:pPr>
      <w:r>
        <w:rPr>
          <w:color w:val="000000" w:themeColor="text1"/>
          <w:highlight w:val="none"/>
          <w14:textFill>
            <w14:solidFill>
              <w14:schemeClr w14:val="tx1"/>
            </w14:solidFill>
          </w14:textFill>
        </w:rPr>
        <w:fldChar w:fldCharType="begin"/>
      </w:r>
      <w:r>
        <w:rPr>
          <w:highlight w:val="none"/>
        </w:rPr>
        <w:instrText xml:space="preserve"> HYPERLINK \l _Toc17265 </w:instrText>
      </w:r>
      <w:r>
        <w:rPr>
          <w:highlight w:val="none"/>
        </w:rPr>
        <w:fldChar w:fldCharType="separate"/>
      </w:r>
      <w:r>
        <w:rPr>
          <w:rFonts w:hint="eastAsia" w:ascii="黑体" w:eastAsia="黑体"/>
          <w:i w:val="0"/>
          <w:strike w:val="0"/>
          <w:dstrike w:val="0"/>
          <w:szCs w:val="22"/>
          <w:lang w:val="en-US" w:eastAsia="zh-CN"/>
        </w:rPr>
        <w:t xml:space="preserve">4 </w:t>
      </w:r>
      <w:r>
        <w:rPr>
          <w:rFonts w:hint="eastAsia"/>
          <w:highlight w:val="none"/>
          <w:lang w:eastAsia="zh-CN"/>
        </w:rPr>
        <w:t>基本要求</w:t>
      </w:r>
      <w:r>
        <w:tab/>
      </w:r>
      <w:r>
        <w:fldChar w:fldCharType="begin"/>
      </w:r>
      <w:r>
        <w:instrText xml:space="preserve"> PAGEREF _Toc17265 </w:instrText>
      </w:r>
      <w:r>
        <w:fldChar w:fldCharType="separate"/>
      </w:r>
      <w:r>
        <w:t>3</w:t>
      </w:r>
      <w:r>
        <w:fldChar w:fldCharType="end"/>
      </w:r>
      <w:r>
        <w:rPr>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560" w:lineRule="exact"/>
        <w:ind w:left="0" w:leftChars="0" w:right="0" w:rightChars="0" w:firstLine="0" w:firstLineChars="0"/>
        <w:jc w:val="both"/>
        <w:textAlignment w:val="auto"/>
        <w:outlineLvl w:val="9"/>
      </w:pPr>
      <w:r>
        <w:rPr>
          <w:color w:val="000000" w:themeColor="text1"/>
          <w:highlight w:val="none"/>
          <w14:textFill>
            <w14:solidFill>
              <w14:schemeClr w14:val="tx1"/>
            </w14:solidFill>
          </w14:textFill>
        </w:rPr>
        <w:fldChar w:fldCharType="begin"/>
      </w:r>
      <w:r>
        <w:rPr>
          <w:highlight w:val="none"/>
        </w:rPr>
        <w:instrText xml:space="preserve"> HYPERLINK \l _Toc29003 </w:instrText>
      </w:r>
      <w:r>
        <w:rPr>
          <w:highlight w:val="none"/>
        </w:rPr>
        <w:fldChar w:fldCharType="separate"/>
      </w:r>
      <w:r>
        <w:rPr>
          <w:rFonts w:hint="eastAsia" w:ascii="黑体" w:eastAsia="黑体"/>
          <w:i w:val="0"/>
          <w:szCs w:val="22"/>
          <w:lang w:val="en-US" w:eastAsia="zh-CN"/>
        </w:rPr>
        <w:t xml:space="preserve">5 </w:t>
      </w:r>
      <w:r>
        <w:rPr>
          <w:rFonts w:hint="eastAsia"/>
          <w:szCs w:val="22"/>
          <w:highlight w:val="none"/>
          <w:lang w:val="en-US" w:eastAsia="zh-CN"/>
        </w:rPr>
        <w:t>评估项目</w:t>
      </w:r>
      <w:r>
        <w:tab/>
      </w:r>
      <w:r>
        <w:fldChar w:fldCharType="begin"/>
      </w:r>
      <w:r>
        <w:instrText xml:space="preserve"> PAGEREF _Toc29003 </w:instrText>
      </w:r>
      <w:r>
        <w:fldChar w:fldCharType="separate"/>
      </w:r>
      <w:r>
        <w:t>3</w:t>
      </w:r>
      <w:r>
        <w:fldChar w:fldCharType="end"/>
      </w:r>
      <w:r>
        <w:rPr>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560" w:lineRule="exact"/>
        <w:ind w:left="0" w:leftChars="0" w:right="0" w:rightChars="0" w:firstLine="0" w:firstLineChars="0"/>
        <w:jc w:val="both"/>
        <w:textAlignment w:val="auto"/>
        <w:outlineLvl w:val="9"/>
      </w:pPr>
      <w:r>
        <w:rPr>
          <w:color w:val="000000" w:themeColor="text1"/>
          <w:highlight w:val="none"/>
          <w14:textFill>
            <w14:solidFill>
              <w14:schemeClr w14:val="tx1"/>
            </w14:solidFill>
          </w14:textFill>
        </w:rPr>
        <w:fldChar w:fldCharType="begin"/>
      </w:r>
      <w:r>
        <w:rPr>
          <w:highlight w:val="none"/>
        </w:rPr>
        <w:instrText xml:space="preserve"> HYPERLINK \l _Toc30815 </w:instrText>
      </w:r>
      <w:r>
        <w:rPr>
          <w:highlight w:val="none"/>
        </w:rPr>
        <w:fldChar w:fldCharType="separate"/>
      </w:r>
      <w:r>
        <w:rPr>
          <w:rFonts w:hint="eastAsia" w:ascii="黑体" w:eastAsia="黑体"/>
          <w:i w:val="0"/>
          <w:szCs w:val="22"/>
          <w:lang w:val="en-US" w:eastAsia="zh-CN"/>
        </w:rPr>
        <w:t xml:space="preserve">6 </w:t>
      </w:r>
      <w:r>
        <w:rPr>
          <w:rFonts w:hint="eastAsia"/>
          <w:szCs w:val="22"/>
          <w:highlight w:val="none"/>
          <w:lang w:val="en-US" w:eastAsia="zh-CN"/>
        </w:rPr>
        <w:t>更新评估流程</w:t>
      </w:r>
      <w:r>
        <w:tab/>
      </w:r>
      <w:r>
        <w:fldChar w:fldCharType="begin"/>
      </w:r>
      <w:r>
        <w:instrText xml:space="preserve"> PAGEREF _Toc30815 </w:instrText>
      </w:r>
      <w:r>
        <w:fldChar w:fldCharType="separate"/>
      </w:r>
      <w:r>
        <w:t>4</w:t>
      </w:r>
      <w:r>
        <w:fldChar w:fldCharType="end"/>
      </w:r>
      <w:r>
        <w:rPr>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560" w:lineRule="exact"/>
        <w:ind w:left="0" w:leftChars="0" w:right="0" w:rightChars="0" w:firstLine="0" w:firstLineChars="0"/>
        <w:jc w:val="both"/>
        <w:textAlignment w:val="auto"/>
        <w:outlineLvl w:val="9"/>
      </w:pPr>
      <w:r>
        <w:rPr>
          <w:color w:val="000000" w:themeColor="text1"/>
          <w:highlight w:val="none"/>
          <w14:textFill>
            <w14:solidFill>
              <w14:schemeClr w14:val="tx1"/>
            </w14:solidFill>
          </w14:textFill>
        </w:rPr>
        <w:fldChar w:fldCharType="begin"/>
      </w:r>
      <w:r>
        <w:rPr>
          <w:highlight w:val="none"/>
        </w:rPr>
        <w:instrText xml:space="preserve"> HYPERLINK \l _Toc23341 </w:instrText>
      </w:r>
      <w:r>
        <w:rPr>
          <w:highlight w:val="none"/>
        </w:rPr>
        <w:fldChar w:fldCharType="separate"/>
      </w:r>
      <w:r>
        <w:rPr>
          <w:rFonts w:hint="eastAsia" w:ascii="黑体" w:eastAsia="黑体"/>
          <w:i w:val="0"/>
          <w:szCs w:val="22"/>
          <w:lang w:val="en-US" w:eastAsia="zh-CN"/>
        </w:rPr>
        <w:t xml:space="preserve">7 </w:t>
      </w:r>
      <w:r>
        <w:rPr>
          <w:rFonts w:hint="eastAsia"/>
          <w:szCs w:val="22"/>
          <w:highlight w:val="none"/>
          <w:lang w:val="en-US" w:eastAsia="zh-CN"/>
        </w:rPr>
        <w:t>更新评估内容</w:t>
      </w:r>
      <w:r>
        <w:tab/>
      </w:r>
      <w:r>
        <w:fldChar w:fldCharType="begin"/>
      </w:r>
      <w:r>
        <w:instrText xml:space="preserve"> PAGEREF _Toc23341 </w:instrText>
      </w:r>
      <w:r>
        <w:fldChar w:fldCharType="separate"/>
      </w:r>
      <w:r>
        <w:t>6</w:t>
      </w:r>
      <w:r>
        <w:fldChar w:fldCharType="end"/>
      </w:r>
      <w:r>
        <w:rPr>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560" w:lineRule="exact"/>
        <w:ind w:left="0" w:leftChars="0" w:right="0" w:rightChars="0" w:firstLine="0" w:firstLineChars="0"/>
        <w:jc w:val="both"/>
        <w:textAlignment w:val="auto"/>
        <w:outlineLvl w:val="9"/>
      </w:pPr>
      <w:r>
        <w:rPr>
          <w:color w:val="000000" w:themeColor="text1"/>
          <w:highlight w:val="none"/>
          <w14:textFill>
            <w14:solidFill>
              <w14:schemeClr w14:val="tx1"/>
            </w14:solidFill>
          </w14:textFill>
        </w:rPr>
        <w:fldChar w:fldCharType="begin"/>
      </w:r>
      <w:r>
        <w:rPr>
          <w:highlight w:val="none"/>
        </w:rPr>
        <w:instrText xml:space="preserve"> HYPERLINK \l _Toc3281 </w:instrText>
      </w:r>
      <w:r>
        <w:rPr>
          <w:highlight w:val="none"/>
        </w:rPr>
        <w:fldChar w:fldCharType="separate"/>
      </w:r>
      <w:r>
        <w:rPr>
          <w:rFonts w:hint="eastAsia" w:ascii="黑体" w:eastAsia="黑体"/>
          <w:i w:val="0"/>
          <w:szCs w:val="22"/>
          <w:lang w:val="en-US" w:eastAsia="zh-CN"/>
        </w:rPr>
        <w:t xml:space="preserve">8 </w:t>
      </w:r>
      <w:r>
        <w:rPr>
          <w:rFonts w:hint="eastAsia"/>
          <w:szCs w:val="22"/>
          <w:highlight w:val="none"/>
          <w:lang w:val="en-US" w:eastAsia="zh-CN"/>
        </w:rPr>
        <w:t>更新评级</w:t>
      </w:r>
      <w:r>
        <w:tab/>
      </w:r>
      <w:r>
        <w:fldChar w:fldCharType="begin"/>
      </w:r>
      <w:r>
        <w:instrText xml:space="preserve"> PAGEREF _Toc3281 </w:instrText>
      </w:r>
      <w:r>
        <w:fldChar w:fldCharType="separate"/>
      </w:r>
      <w:r>
        <w:t>8</w:t>
      </w:r>
      <w:r>
        <w:fldChar w:fldCharType="end"/>
      </w:r>
      <w:r>
        <w:rPr>
          <w:color w:val="000000" w:themeColor="text1"/>
          <w:highlight w:val="none"/>
          <w14:textFill>
            <w14:solidFill>
              <w14:schemeClr w14:val="tx1"/>
            </w14:solidFill>
          </w14:textFill>
        </w:rPr>
        <w:fldChar w:fldCharType="end"/>
      </w:r>
    </w:p>
    <w:p>
      <w:pPr>
        <w:pStyle w:val="20"/>
        <w:keepNext w:val="0"/>
        <w:keepLines w:val="0"/>
        <w:pageBreakBefore w:val="0"/>
        <w:widowControl w:val="0"/>
        <w:tabs>
          <w:tab w:val="right" w:leader="dot" w:pos="9354"/>
        </w:tabs>
        <w:kinsoku/>
        <w:wordWrap/>
        <w:overflowPunct/>
        <w:topLinePunct w:val="0"/>
        <w:autoSpaceDE/>
        <w:autoSpaceDN/>
        <w:bidi w:val="0"/>
        <w:adjustRightInd w:val="0"/>
        <w:snapToGrid/>
        <w:spacing w:line="560" w:lineRule="exact"/>
        <w:ind w:left="0" w:leftChars="0" w:right="0" w:rightChars="0" w:firstLine="0" w:firstLineChars="0"/>
        <w:jc w:val="both"/>
        <w:textAlignment w:val="auto"/>
        <w:outlineLvl w:val="9"/>
      </w:pPr>
      <w:r>
        <w:rPr>
          <w:color w:val="000000" w:themeColor="text1"/>
          <w:highlight w:val="none"/>
          <w14:textFill>
            <w14:solidFill>
              <w14:schemeClr w14:val="tx1"/>
            </w14:solidFill>
          </w14:textFill>
        </w:rPr>
        <w:fldChar w:fldCharType="begin"/>
      </w:r>
      <w:r>
        <w:rPr>
          <w:highlight w:val="none"/>
        </w:rPr>
        <w:instrText xml:space="preserve"> HYPERLINK \l _Toc25383 </w:instrText>
      </w:r>
      <w:r>
        <w:rPr>
          <w:highlight w:val="none"/>
        </w:rPr>
        <w:fldChar w:fldCharType="separate"/>
      </w:r>
      <w:r>
        <w:rPr>
          <w:rFonts w:hint="eastAsia" w:ascii="黑体" w:eastAsia="黑体"/>
          <w:i w:val="0"/>
          <w:szCs w:val="22"/>
          <w:lang w:val="en-US" w:eastAsia="zh-CN"/>
        </w:rPr>
        <w:t xml:space="preserve">9 </w:t>
      </w:r>
      <w:r>
        <w:rPr>
          <w:rFonts w:hint="eastAsia"/>
          <w:szCs w:val="22"/>
          <w:highlight w:val="none"/>
          <w:lang w:val="en-US" w:eastAsia="zh-CN"/>
        </w:rPr>
        <w:t>评估报告</w:t>
      </w:r>
      <w:r>
        <w:tab/>
      </w:r>
      <w:r>
        <w:fldChar w:fldCharType="begin"/>
      </w:r>
      <w:r>
        <w:instrText xml:space="preserve"> PAGEREF _Toc25383 </w:instrText>
      </w:r>
      <w:r>
        <w:fldChar w:fldCharType="separate"/>
      </w:r>
      <w:r>
        <w:t>9</w:t>
      </w:r>
      <w:r>
        <w:fldChar w:fldCharType="end"/>
      </w:r>
      <w:r>
        <w:rPr>
          <w:color w:val="000000" w:themeColor="text1"/>
          <w:highlight w:val="none"/>
          <w14:textFill>
            <w14:solidFill>
              <w14:schemeClr w14:val="tx1"/>
            </w14:solidFill>
          </w14:textFill>
        </w:rPr>
        <w:fldChar w:fldCharType="end"/>
      </w:r>
    </w:p>
    <w:p>
      <w:pPr>
        <w:pStyle w:val="94"/>
        <w:spacing w:after="468"/>
        <w:rPr>
          <w:color w:val="000000" w:themeColor="text1"/>
          <w:highlight w:val="none"/>
          <w14:textFill>
            <w14:solidFill>
              <w14:schemeClr w14:val="tx1"/>
            </w14:solidFill>
          </w14:textFill>
        </w:rPr>
        <w:sectPr>
          <w:headerReference r:id="rId7" w:type="default"/>
          <w:footerReference r:id="rId9" w:type="default"/>
          <w:headerReference r:id="rId8" w:type="even"/>
          <w:pgSz w:w="11906" w:h="16838"/>
          <w:pgMar w:top="2410" w:right="1134" w:bottom="1134" w:left="1134" w:header="1418" w:footer="1134" w:gutter="284"/>
          <w:pgNumType w:fmt="upperRoman" w:start="1"/>
          <w:cols w:space="425" w:num="1"/>
          <w:formProt w:val="0"/>
          <w:docGrid w:type="lines" w:linePitch="312" w:charSpace="0"/>
        </w:sectPr>
      </w:pPr>
      <w:r>
        <w:rPr>
          <w:color w:val="000000" w:themeColor="text1"/>
          <w:highlight w:val="none"/>
          <w14:textFill>
            <w14:solidFill>
              <w14:schemeClr w14:val="tx1"/>
            </w14:solidFill>
          </w14:textFill>
        </w:rPr>
        <w:fldChar w:fldCharType="end"/>
      </w:r>
    </w:p>
    <w:bookmarkEnd w:id="10"/>
    <w:p>
      <w:pPr>
        <w:pStyle w:val="235"/>
        <w:ind w:firstLine="420"/>
        <w:rPr>
          <w:rFonts w:ascii="Times New Roman"/>
          <w:color w:val="000000" w:themeColor="text1"/>
          <w:highlight w:val="none"/>
          <w14:textFill>
            <w14:solidFill>
              <w14:schemeClr w14:val="tx1"/>
            </w14:solidFill>
          </w14:textFill>
        </w:rPr>
      </w:pPr>
      <w:bookmarkStart w:id="11" w:name="_Toc20562"/>
      <w:bookmarkStart w:id="12" w:name="_Toc337822910"/>
      <w:bookmarkStart w:id="13" w:name="_Toc337822602"/>
      <w:bookmarkStart w:id="14" w:name="_Toc384212299"/>
      <w:bookmarkStart w:id="15" w:name="_Toc31022"/>
      <w:bookmarkStart w:id="16" w:name="BookMark4"/>
      <w:r>
        <w:rPr>
          <w:rFonts w:ascii="Times New Roman"/>
          <w:color w:val="000000" w:themeColor="text1"/>
          <w:highlight w:val="none"/>
          <w14:textFill>
            <w14:solidFill>
              <w14:schemeClr w14:val="tx1"/>
            </w14:solidFill>
          </w14:textFill>
        </w:rPr>
        <w:t>前</w:t>
      </w:r>
      <w:bookmarkStart w:id="17" w:name="BKQY"/>
      <w:r>
        <w:rPr>
          <w:rFonts w:ascii="Times New Roman"/>
          <w:color w:val="000000" w:themeColor="text1"/>
          <w:highlight w:val="none"/>
          <w14:textFill>
            <w14:solidFill>
              <w14:schemeClr w14:val="tx1"/>
            </w14:solidFill>
          </w14:textFill>
        </w:rPr>
        <w:t>言</w:t>
      </w:r>
      <w:bookmarkEnd w:id="11"/>
      <w:bookmarkEnd w:id="12"/>
      <w:bookmarkEnd w:id="13"/>
      <w:bookmarkEnd w:id="14"/>
      <w:bookmarkEnd w:id="15"/>
      <w:bookmarkEnd w:id="17"/>
    </w:p>
    <w:p>
      <w:pPr>
        <w:pStyle w:val="123"/>
        <w:spacing w:line="288" w:lineRule="auto"/>
        <w:rPr>
          <w:rFonts w:ascii="Times New Roman"/>
          <w:color w:val="000000"/>
        </w:rPr>
      </w:pPr>
      <w:r>
        <w:rPr>
          <w:rFonts w:ascii="Times New Roman"/>
          <w:color w:val="000000"/>
        </w:rPr>
        <w:t>本</w:t>
      </w:r>
      <w:r>
        <w:rPr>
          <w:rFonts w:hint="eastAsia" w:ascii="Times New Roman"/>
          <w:color w:val="000000"/>
        </w:rPr>
        <w:t>文件</w:t>
      </w:r>
      <w:r>
        <w:rPr>
          <w:rFonts w:ascii="Times New Roman"/>
          <w:color w:val="000000"/>
        </w:rPr>
        <w:t>按照</w:t>
      </w:r>
      <w:r>
        <w:rPr>
          <w:rFonts w:hint="eastAsia" w:ascii="Times New Roman"/>
          <w:color w:val="000000"/>
        </w:rPr>
        <w:t>G</w:t>
      </w:r>
      <w:r>
        <w:rPr>
          <w:rFonts w:ascii="Times New Roman"/>
          <w:color w:val="000000"/>
        </w:rPr>
        <w:t>B/T 1.1</w:t>
      </w:r>
      <w:r>
        <w:rPr>
          <w:rFonts w:hint="eastAsia" w:ascii="Times New Roman"/>
          <w:color w:val="000000"/>
        </w:rPr>
        <w:t>-</w:t>
      </w:r>
      <w:r>
        <w:rPr>
          <w:rFonts w:ascii="Times New Roman"/>
          <w:color w:val="000000"/>
        </w:rPr>
        <w:t>2020</w:t>
      </w:r>
      <w:r>
        <w:rPr>
          <w:rFonts w:hint="eastAsia" w:ascii="Times New Roman"/>
          <w:color w:val="000000"/>
        </w:rPr>
        <w:t>《标准化工作导则 第1部分：标准化文件的结构和起草规则》</w:t>
      </w:r>
      <w:r>
        <w:rPr>
          <w:rFonts w:ascii="Times New Roman"/>
          <w:color w:val="000000"/>
        </w:rPr>
        <w:t>的规</w:t>
      </w:r>
      <w:r>
        <w:rPr>
          <w:rFonts w:hint="eastAsia" w:ascii="Times New Roman"/>
          <w:color w:val="000000"/>
        </w:rPr>
        <w:t>定</w:t>
      </w:r>
      <w:r>
        <w:rPr>
          <w:rFonts w:ascii="Times New Roman"/>
          <w:color w:val="000000"/>
        </w:rPr>
        <w:t>起草</w:t>
      </w:r>
      <w:r>
        <w:rPr>
          <w:rFonts w:hint="eastAsia" w:ascii="Times New Roman"/>
          <w:color w:val="000000"/>
        </w:rPr>
        <w:t>。</w:t>
      </w:r>
    </w:p>
    <w:p>
      <w:pPr>
        <w:pStyle w:val="123"/>
        <w:spacing w:line="288" w:lineRule="auto"/>
        <w:rPr>
          <w:rFonts w:hint="eastAsia" w:ascii="Times New Roman"/>
          <w:color w:val="000000"/>
        </w:rPr>
      </w:pPr>
      <w:r>
        <w:rPr>
          <w:rFonts w:hint="eastAsia" w:ascii="Times New Roman"/>
          <w:color w:val="000000"/>
        </w:rPr>
        <w:t>本文件是DB50/T</w:t>
      </w:r>
      <w:r>
        <w:rPr>
          <w:rFonts w:hint="eastAsia" w:ascii="Times New Roman"/>
          <w:color w:val="FF0000"/>
          <w:lang w:val="en-US" w:eastAsia="zh-CN"/>
        </w:rPr>
        <w:t xml:space="preserve"> **</w:t>
      </w:r>
      <w:r>
        <w:rPr>
          <w:rFonts w:hint="eastAsia" w:ascii="Times New Roman"/>
          <w:color w:val="000000"/>
        </w:rPr>
        <w:t>《特种设备更新评估导则》的第</w:t>
      </w:r>
      <w:r>
        <w:rPr>
          <w:rFonts w:hint="eastAsia" w:ascii="Times New Roman"/>
          <w:color w:val="000000"/>
          <w:lang w:val="en-US" w:eastAsia="zh-CN"/>
        </w:rPr>
        <w:t>7</w:t>
      </w:r>
      <w:r>
        <w:rPr>
          <w:rFonts w:hint="eastAsia" w:ascii="Times New Roman"/>
          <w:color w:val="000000"/>
        </w:rPr>
        <w:t>部分。DB50/T</w:t>
      </w:r>
      <w:r>
        <w:rPr>
          <w:rFonts w:hint="eastAsia" w:ascii="Times New Roman"/>
          <w:color w:val="FF0000"/>
          <w:lang w:val="en-US" w:eastAsia="zh-CN"/>
        </w:rPr>
        <w:t xml:space="preserve"> **</w:t>
      </w:r>
      <w:r>
        <w:rPr>
          <w:rFonts w:hint="eastAsia" w:ascii="Times New Roman"/>
          <w:color w:val="000000"/>
        </w:rPr>
        <w:t>分为以下部分：</w:t>
      </w:r>
    </w:p>
    <w:p>
      <w:pPr>
        <w:pStyle w:val="123"/>
        <w:spacing w:line="288" w:lineRule="auto"/>
        <w:rPr>
          <w:rFonts w:hint="eastAsia" w:ascii="Times New Roman"/>
          <w:color w:val="000000"/>
        </w:rPr>
      </w:pPr>
      <w:r>
        <w:rPr>
          <w:rFonts w:hint="eastAsia" w:ascii="Times New Roman"/>
          <w:color w:val="000000"/>
        </w:rPr>
        <w:t>——第1部分：总则</w:t>
      </w:r>
    </w:p>
    <w:p>
      <w:pPr>
        <w:pStyle w:val="123"/>
        <w:spacing w:line="288" w:lineRule="auto"/>
        <w:rPr>
          <w:rFonts w:hint="eastAsia" w:ascii="Times New Roman"/>
          <w:color w:val="000000"/>
        </w:rPr>
      </w:pPr>
      <w:r>
        <w:rPr>
          <w:rFonts w:hint="eastAsia" w:ascii="Times New Roman"/>
          <w:color w:val="000000"/>
        </w:rPr>
        <w:t>——第2部分：电梯</w:t>
      </w:r>
    </w:p>
    <w:p>
      <w:pPr>
        <w:pStyle w:val="123"/>
        <w:spacing w:line="288" w:lineRule="auto"/>
        <w:rPr>
          <w:rFonts w:hint="eastAsia" w:ascii="Times New Roman"/>
          <w:color w:val="000000"/>
        </w:rPr>
      </w:pPr>
      <w:r>
        <w:rPr>
          <w:rFonts w:hint="eastAsia" w:ascii="Times New Roman"/>
          <w:color w:val="000000"/>
        </w:rPr>
        <w:t>——第3部分：起重机械</w:t>
      </w:r>
    </w:p>
    <w:p>
      <w:pPr>
        <w:pStyle w:val="123"/>
        <w:spacing w:line="288" w:lineRule="auto"/>
        <w:rPr>
          <w:rFonts w:hint="eastAsia" w:ascii="Times New Roman"/>
          <w:color w:val="000000"/>
        </w:rPr>
      </w:pPr>
      <w:r>
        <w:rPr>
          <w:rFonts w:hint="eastAsia" w:ascii="Times New Roman"/>
          <w:color w:val="000000"/>
        </w:rPr>
        <w:t>——第4部分：大型游乐设施</w:t>
      </w:r>
    </w:p>
    <w:p>
      <w:pPr>
        <w:pStyle w:val="123"/>
        <w:spacing w:line="288" w:lineRule="auto"/>
        <w:rPr>
          <w:rFonts w:hint="eastAsia" w:ascii="Times New Roman"/>
          <w:color w:val="000000"/>
        </w:rPr>
      </w:pPr>
      <w:r>
        <w:rPr>
          <w:rFonts w:hint="eastAsia" w:ascii="Times New Roman"/>
          <w:color w:val="000000"/>
        </w:rPr>
        <w:t>——第5部分：客运索道</w:t>
      </w:r>
    </w:p>
    <w:p>
      <w:pPr>
        <w:pStyle w:val="123"/>
        <w:spacing w:line="288" w:lineRule="auto"/>
        <w:rPr>
          <w:rFonts w:hint="eastAsia" w:ascii="Times New Roman"/>
          <w:color w:val="000000"/>
        </w:rPr>
      </w:pPr>
      <w:r>
        <w:rPr>
          <w:rFonts w:hint="eastAsia" w:ascii="Times New Roman"/>
          <w:color w:val="000000"/>
        </w:rPr>
        <w:t>——第6部分：场（厂）内专用车辆</w:t>
      </w:r>
    </w:p>
    <w:p>
      <w:pPr>
        <w:pStyle w:val="123"/>
        <w:spacing w:line="288" w:lineRule="auto"/>
        <w:rPr>
          <w:rFonts w:hint="eastAsia" w:ascii="Times New Roman"/>
          <w:color w:val="000000"/>
        </w:rPr>
      </w:pPr>
      <w:r>
        <w:rPr>
          <w:rFonts w:hint="eastAsia" w:ascii="Times New Roman"/>
          <w:color w:val="000000"/>
        </w:rPr>
        <w:t>——第7部分：锅炉</w:t>
      </w:r>
    </w:p>
    <w:p>
      <w:pPr>
        <w:pStyle w:val="123"/>
        <w:spacing w:line="288" w:lineRule="auto"/>
        <w:rPr>
          <w:rFonts w:hint="eastAsia" w:ascii="Times New Roman"/>
          <w:color w:val="000000"/>
        </w:rPr>
      </w:pPr>
      <w:r>
        <w:rPr>
          <w:rFonts w:hint="eastAsia" w:ascii="Times New Roman"/>
          <w:color w:val="000000"/>
        </w:rPr>
        <w:t>——第8部分：固定式压力容器</w:t>
      </w:r>
    </w:p>
    <w:p>
      <w:pPr>
        <w:pStyle w:val="123"/>
        <w:spacing w:line="288" w:lineRule="auto"/>
        <w:rPr>
          <w:rFonts w:hint="eastAsia" w:ascii="Times New Roman"/>
          <w:color w:val="000000"/>
        </w:rPr>
      </w:pPr>
      <w:r>
        <w:rPr>
          <w:rFonts w:hint="eastAsia" w:ascii="Times New Roman"/>
          <w:color w:val="000000"/>
        </w:rPr>
        <w:t>——第9部分：移动式压力容器</w:t>
      </w:r>
    </w:p>
    <w:p>
      <w:pPr>
        <w:pStyle w:val="123"/>
        <w:spacing w:line="288" w:lineRule="auto"/>
        <w:rPr>
          <w:rFonts w:hint="eastAsia" w:ascii="Times New Roman"/>
          <w:color w:val="000000"/>
        </w:rPr>
      </w:pPr>
      <w:r>
        <w:rPr>
          <w:rFonts w:hint="eastAsia" w:ascii="Times New Roman"/>
          <w:color w:val="000000"/>
        </w:rPr>
        <w:t>——第10部分：气瓶</w:t>
      </w:r>
    </w:p>
    <w:p>
      <w:pPr>
        <w:pStyle w:val="123"/>
        <w:spacing w:line="288" w:lineRule="auto"/>
        <w:rPr>
          <w:rFonts w:hint="eastAsia" w:ascii="Times New Roman"/>
          <w:color w:val="000000"/>
        </w:rPr>
      </w:pPr>
      <w:r>
        <w:rPr>
          <w:rFonts w:hint="eastAsia" w:ascii="Times New Roman"/>
          <w:color w:val="000000"/>
        </w:rPr>
        <w:t>——第11部分：压力管道</w:t>
      </w:r>
    </w:p>
    <w:p>
      <w:pPr>
        <w:pStyle w:val="123"/>
        <w:spacing w:line="288" w:lineRule="auto"/>
        <w:rPr>
          <w:rFonts w:ascii="Times New Roman"/>
          <w:color w:val="000000"/>
        </w:rPr>
      </w:pPr>
      <w:r>
        <w:rPr>
          <w:rFonts w:hint="eastAsia" w:ascii="Times New Roman"/>
          <w:color w:val="000000"/>
        </w:rPr>
        <w:t>请注意本文件的某些内容可能涉及专利。本文件的发布机构不承担识别专利的责任。</w:t>
      </w:r>
    </w:p>
    <w:p>
      <w:pPr>
        <w:pStyle w:val="123"/>
        <w:spacing w:line="288" w:lineRule="auto"/>
        <w:rPr>
          <w:rFonts w:ascii="Times New Roman"/>
          <w:color w:val="000000"/>
        </w:rPr>
      </w:pPr>
      <w:r>
        <w:rPr>
          <w:rFonts w:hint="eastAsia" w:ascii="Times New Roman"/>
          <w:color w:val="000000"/>
        </w:rPr>
        <w:t>本文件由重庆市特种设备检测研究院提出。</w:t>
      </w:r>
    </w:p>
    <w:p>
      <w:pPr>
        <w:pStyle w:val="123"/>
        <w:spacing w:line="288" w:lineRule="auto"/>
        <w:rPr>
          <w:rFonts w:ascii="Times New Roman"/>
          <w:color w:val="000000"/>
        </w:rPr>
      </w:pPr>
      <w:r>
        <w:rPr>
          <w:rFonts w:ascii="Times New Roman"/>
          <w:color w:val="000000"/>
        </w:rPr>
        <w:t>本</w:t>
      </w:r>
      <w:r>
        <w:rPr>
          <w:rFonts w:hint="eastAsia" w:ascii="Times New Roman"/>
          <w:color w:val="000000"/>
        </w:rPr>
        <w:t>文件</w:t>
      </w:r>
      <w:r>
        <w:rPr>
          <w:rFonts w:ascii="Times New Roman"/>
          <w:color w:val="000000"/>
        </w:rPr>
        <w:t>由</w:t>
      </w:r>
      <w:r>
        <w:rPr>
          <w:rFonts w:hint="eastAsia" w:hAnsi="宋体"/>
          <w:color w:val="000000"/>
        </w:rPr>
        <w:t>重庆市特种设备安全标准化技术委员会（CQ/TC30)</w:t>
      </w:r>
      <w:r>
        <w:rPr>
          <w:rFonts w:hint="eastAsia" w:ascii="Times New Roman"/>
          <w:color w:val="000000"/>
        </w:rPr>
        <w:t>归口并组织实施。</w:t>
      </w:r>
    </w:p>
    <w:p>
      <w:pPr>
        <w:pStyle w:val="123"/>
        <w:spacing w:line="288" w:lineRule="auto"/>
        <w:rPr>
          <w:rFonts w:hAnsi="宋体"/>
          <w:color w:val="000000"/>
        </w:rPr>
      </w:pPr>
      <w:r>
        <w:rPr>
          <w:rFonts w:hint="eastAsia" w:hAnsi="宋体"/>
          <w:color w:val="000000"/>
        </w:rPr>
        <w:t>本文件起草单位：</w:t>
      </w:r>
    </w:p>
    <w:p>
      <w:pPr>
        <w:pStyle w:val="123"/>
        <w:spacing w:line="288" w:lineRule="auto"/>
        <w:rPr>
          <w:rFonts w:ascii="Times New Roman"/>
          <w:color w:val="000000"/>
        </w:rPr>
      </w:pPr>
      <w:r>
        <w:rPr>
          <w:rFonts w:hint="eastAsia" w:ascii="Times New Roman"/>
          <w:color w:val="000000"/>
        </w:rPr>
        <w:t>本文件主要起草人：</w:t>
      </w:r>
    </w:p>
    <w:p>
      <w:pPr>
        <w:pStyle w:val="123"/>
        <w:spacing w:line="288" w:lineRule="auto"/>
        <w:rPr>
          <w:rFonts w:hAnsi="宋体" w:cs="Aharoni"/>
          <w:color w:val="000000"/>
          <w:szCs w:val="21"/>
        </w:rPr>
        <w:sectPr>
          <w:pgSz w:w="11906" w:h="16838"/>
          <w:pgMar w:top="2410" w:right="1134" w:bottom="1134" w:left="1134" w:header="1418" w:footer="1134" w:gutter="284"/>
          <w:pgNumType w:start="1"/>
          <w:cols w:space="720" w:num="1"/>
          <w:formProt w:val="0"/>
          <w:docGrid w:type="lines" w:linePitch="312" w:charSpace="0"/>
        </w:sectPr>
      </w:pPr>
      <w:r>
        <w:rPr>
          <w:rFonts w:hint="eastAsia" w:hAnsi="宋体"/>
          <w:color w:val="000000"/>
        </w:rPr>
        <w:t>本文件为首次发布。</w:t>
      </w:r>
    </w:p>
    <w:sdt>
      <w:sdtPr>
        <w:rPr>
          <w:color w:val="000000" w:themeColor="text1"/>
          <w:highlight w:val="none"/>
          <w14:textFill>
            <w14:solidFill>
              <w14:schemeClr w14:val="tx1"/>
            </w14:solidFill>
          </w14:textFill>
        </w:rPr>
        <w:tag w:val="NEW_STAND_NAME"/>
        <w:id w:val="595910757"/>
        <w:lock w:val="sdtLocked"/>
        <w:placeholder>
          <w:docPart w:val="5105E8778B674B87AE09A5135B2AB290"/>
        </w:placeholder>
      </w:sdtPr>
      <w:sdtEndPr>
        <w:rPr>
          <w:color w:val="000000" w:themeColor="text1"/>
          <w:highlight w:val="none"/>
          <w14:textFill>
            <w14:solidFill>
              <w14:schemeClr w14:val="tx1"/>
            </w14:solidFill>
          </w14:textFill>
        </w:rPr>
      </w:sdtEndPr>
      <w:sdtContent>
        <w:p>
          <w:pPr>
            <w:pStyle w:val="181"/>
            <w:spacing w:before="2" w:beforeLines="1" w:after="528" w:afterLines="220" w:line="240" w:lineRule="auto"/>
            <w:rPr>
              <w:color w:val="000000" w:themeColor="text1"/>
              <w:highlight w:val="none"/>
              <w14:textFill>
                <w14:solidFill>
                  <w14:schemeClr w14:val="tx1"/>
                </w14:solidFill>
              </w14:textFill>
            </w:rPr>
          </w:pPr>
          <w:bookmarkStart w:id="18" w:name="_Toc21102"/>
          <w:bookmarkStart w:id="19" w:name="_Toc25745"/>
          <w:bookmarkStart w:id="20" w:name="NEW_STAND_NAME"/>
          <w:bookmarkStart w:id="21" w:name="_Toc26271"/>
          <w:bookmarkStart w:id="22" w:name="_Toc4403"/>
          <w:r>
            <w:rPr>
              <w:rFonts w:hint="eastAsia"/>
              <w:color w:val="000000" w:themeColor="text1"/>
              <w:highlight w:val="none"/>
              <w14:textFill>
                <w14:solidFill>
                  <w14:schemeClr w14:val="tx1"/>
                </w14:solidFill>
              </w14:textFill>
            </w:rPr>
            <w:t>特种设备</w:t>
          </w:r>
          <w:r>
            <w:rPr>
              <w:rFonts w:hint="eastAsia"/>
              <w:color w:val="000000" w:themeColor="text1"/>
              <w:highlight w:val="none"/>
              <w:lang w:val="en-US" w:eastAsia="zh-CN"/>
              <w14:textFill>
                <w14:solidFill>
                  <w14:schemeClr w14:val="tx1"/>
                </w14:solidFill>
              </w14:textFill>
            </w:rPr>
            <w:t>更新评估导则 第7部分：锅炉</w:t>
          </w:r>
        </w:p>
      </w:sdtContent>
    </w:sdt>
    <w:bookmarkEnd w:id="18"/>
    <w:bookmarkEnd w:id="19"/>
    <w:bookmarkEnd w:id="20"/>
    <w:bookmarkEnd w:id="21"/>
    <w:bookmarkEnd w:id="22"/>
    <w:p>
      <w:pPr>
        <w:pStyle w:val="107"/>
        <w:spacing w:before="240" w:after="240"/>
        <w:rPr>
          <w:color w:val="000000" w:themeColor="text1"/>
          <w:highlight w:val="none"/>
          <w14:textFill>
            <w14:solidFill>
              <w14:schemeClr w14:val="tx1"/>
            </w14:solidFill>
          </w14:textFill>
        </w:rPr>
      </w:pPr>
      <w:bookmarkStart w:id="23" w:name="_Toc17233333"/>
      <w:bookmarkStart w:id="24" w:name="_Toc26648465"/>
      <w:bookmarkStart w:id="25" w:name="_Toc29770"/>
      <w:bookmarkStart w:id="26" w:name="_Toc24884211"/>
      <w:bookmarkStart w:id="27" w:name="_Toc26986530"/>
      <w:bookmarkStart w:id="28" w:name="_Toc3695"/>
      <w:bookmarkStart w:id="29" w:name="_Toc26718930"/>
      <w:bookmarkStart w:id="30" w:name="_Toc24884218"/>
      <w:bookmarkStart w:id="31" w:name="_Toc26986771"/>
      <w:bookmarkStart w:id="32" w:name="_Toc17233325"/>
      <w:r>
        <w:rPr>
          <w:rFonts w:hint="eastAsia"/>
          <w:color w:val="000000" w:themeColor="text1"/>
          <w:highlight w:val="none"/>
          <w14:textFill>
            <w14:solidFill>
              <w14:schemeClr w14:val="tx1"/>
            </w14:solidFill>
          </w14:textFill>
        </w:rPr>
        <w:t>范围</w:t>
      </w:r>
      <w:bookmarkEnd w:id="23"/>
      <w:bookmarkEnd w:id="24"/>
      <w:bookmarkEnd w:id="25"/>
      <w:bookmarkEnd w:id="26"/>
      <w:bookmarkEnd w:id="27"/>
      <w:bookmarkEnd w:id="28"/>
      <w:bookmarkEnd w:id="29"/>
      <w:bookmarkEnd w:id="30"/>
      <w:bookmarkEnd w:id="31"/>
      <w:bookmarkEnd w:id="32"/>
    </w:p>
    <w:p>
      <w:pPr>
        <w:pStyle w:val="59"/>
        <w:spacing w:line="288" w:lineRule="auto"/>
        <w:ind w:firstLine="420"/>
        <w:rPr>
          <w:color w:val="auto"/>
          <w:highlight w:val="none"/>
        </w:rPr>
      </w:pPr>
      <w:bookmarkStart w:id="33" w:name="_Toc26648466"/>
      <w:bookmarkStart w:id="34" w:name="_Toc17233334"/>
      <w:bookmarkStart w:id="35" w:name="_Toc24884219"/>
      <w:bookmarkStart w:id="36" w:name="_Toc24884212"/>
      <w:bookmarkStart w:id="37" w:name="_Toc17233326"/>
      <w:r>
        <w:rPr>
          <w:rFonts w:hint="eastAsia"/>
          <w:color w:val="000000" w:themeColor="text1"/>
          <w:highlight w:val="none"/>
          <w14:textFill>
            <w14:solidFill>
              <w14:schemeClr w14:val="tx1"/>
            </w14:solidFill>
          </w14:textFill>
        </w:rPr>
        <w:t>本文件规定</w:t>
      </w:r>
      <w:r>
        <w:rPr>
          <w:rFonts w:hint="eastAsia"/>
          <w:color w:val="auto"/>
          <w:highlight w:val="none"/>
        </w:rPr>
        <w:t>了</w:t>
      </w:r>
      <w:r>
        <w:rPr>
          <w:rFonts w:hint="eastAsia"/>
          <w:color w:val="auto"/>
          <w:highlight w:val="none"/>
          <w:lang w:eastAsia="zh-CN"/>
        </w:rPr>
        <w:t>锅炉</w:t>
      </w:r>
      <w:r>
        <w:rPr>
          <w:rFonts w:hint="eastAsia"/>
          <w:color w:val="auto"/>
          <w:highlight w:val="none"/>
          <w:lang w:val="en-US" w:eastAsia="zh-CN"/>
        </w:rPr>
        <w:t>更新评估</w:t>
      </w:r>
      <w:r>
        <w:rPr>
          <w:rFonts w:hint="eastAsia"/>
          <w:color w:val="auto"/>
          <w:highlight w:val="none"/>
        </w:rPr>
        <w:t>的</w:t>
      </w:r>
      <w:r>
        <w:rPr>
          <w:rFonts w:hint="eastAsia"/>
          <w:color w:val="auto"/>
          <w:highlight w:val="none"/>
          <w:lang w:eastAsia="zh-CN"/>
        </w:rPr>
        <w:t>范围、</w:t>
      </w:r>
      <w:r>
        <w:rPr>
          <w:rFonts w:hint="eastAsia"/>
          <w:color w:val="auto"/>
          <w:highlight w:val="none"/>
          <w:lang w:val="en-US" w:eastAsia="zh-CN"/>
        </w:rPr>
        <w:t>规范性引用文件、术语和定义、基本要求</w:t>
      </w:r>
      <w:r>
        <w:rPr>
          <w:rFonts w:hint="eastAsia"/>
          <w:color w:val="auto"/>
          <w:highlight w:val="none"/>
        </w:rPr>
        <w:t>、</w:t>
      </w:r>
      <w:r>
        <w:rPr>
          <w:rFonts w:hint="eastAsia"/>
          <w:color w:val="auto"/>
          <w:highlight w:val="none"/>
          <w:lang w:val="en-US" w:eastAsia="zh-CN"/>
        </w:rPr>
        <w:t>评估项目、更新评估流程、更新评估内容、更新评级</w:t>
      </w:r>
      <w:r>
        <w:rPr>
          <w:rFonts w:hint="eastAsia"/>
          <w:color w:val="auto"/>
          <w:highlight w:val="none"/>
        </w:rPr>
        <w:t>和</w:t>
      </w:r>
      <w:r>
        <w:rPr>
          <w:rFonts w:hint="eastAsia"/>
          <w:color w:val="auto"/>
          <w:highlight w:val="none"/>
          <w:lang w:val="en-US" w:eastAsia="zh-CN"/>
        </w:rPr>
        <w:t>评估报告的要求</w:t>
      </w:r>
      <w:r>
        <w:rPr>
          <w:rFonts w:hint="eastAsia"/>
          <w:color w:val="auto"/>
          <w:highlight w:val="none"/>
        </w:rPr>
        <w:t>。</w:t>
      </w:r>
    </w:p>
    <w:p>
      <w:pPr>
        <w:pStyle w:val="59"/>
        <w:spacing w:line="288" w:lineRule="auto"/>
        <w:ind w:firstLine="420"/>
        <w:rPr>
          <w:color w:val="auto"/>
          <w:szCs w:val="21"/>
          <w:highlight w:val="none"/>
        </w:rPr>
      </w:pPr>
      <w:r>
        <w:rPr>
          <w:rFonts w:hint="eastAsia"/>
          <w:color w:val="auto"/>
          <w:szCs w:val="21"/>
          <w:highlight w:val="none"/>
        </w:rPr>
        <w:t>本</w:t>
      </w:r>
      <w:r>
        <w:rPr>
          <w:rFonts w:hint="eastAsia"/>
          <w:color w:val="auto"/>
          <w:highlight w:val="none"/>
        </w:rPr>
        <w:t>文件</w:t>
      </w:r>
      <w:r>
        <w:rPr>
          <w:rFonts w:hint="eastAsia"/>
          <w:color w:val="auto"/>
          <w:szCs w:val="21"/>
          <w:highlight w:val="none"/>
        </w:rPr>
        <w:t>适用于</w:t>
      </w:r>
      <w:r>
        <w:rPr>
          <w:rFonts w:hint="eastAsia"/>
          <w:color w:val="auto"/>
          <w:szCs w:val="21"/>
          <w:highlight w:val="none"/>
          <w:lang w:val="en-US" w:eastAsia="zh-CN"/>
        </w:rPr>
        <w:t>《特种设备目录》范围内锅炉的更新评估。</w:t>
      </w:r>
    </w:p>
    <w:p>
      <w:pPr>
        <w:pStyle w:val="107"/>
        <w:spacing w:before="240" w:after="240"/>
        <w:rPr>
          <w:color w:val="000000" w:themeColor="text1"/>
          <w:highlight w:val="none"/>
          <w14:textFill>
            <w14:solidFill>
              <w14:schemeClr w14:val="tx1"/>
            </w14:solidFill>
          </w14:textFill>
        </w:rPr>
      </w:pPr>
      <w:bookmarkStart w:id="38" w:name="_Toc26718931"/>
      <w:bookmarkStart w:id="39" w:name="_Toc29369"/>
      <w:bookmarkStart w:id="40" w:name="_Toc26986772"/>
      <w:bookmarkStart w:id="41" w:name="_Toc20638"/>
      <w:bookmarkStart w:id="42" w:name="_Toc26986531"/>
      <w:r>
        <w:rPr>
          <w:rFonts w:hint="eastAsia"/>
          <w:color w:val="000000" w:themeColor="text1"/>
          <w:highlight w:val="none"/>
          <w14:textFill>
            <w14:solidFill>
              <w14:schemeClr w14:val="tx1"/>
            </w14:solidFill>
          </w14:textFill>
        </w:rPr>
        <w:t>规范性引用文件</w:t>
      </w:r>
      <w:bookmarkEnd w:id="33"/>
      <w:bookmarkEnd w:id="34"/>
      <w:bookmarkEnd w:id="35"/>
      <w:bookmarkEnd w:id="36"/>
      <w:bookmarkEnd w:id="37"/>
      <w:bookmarkEnd w:id="38"/>
      <w:bookmarkEnd w:id="39"/>
      <w:bookmarkEnd w:id="40"/>
      <w:bookmarkEnd w:id="41"/>
      <w:bookmarkEnd w:id="42"/>
    </w:p>
    <w:p>
      <w:pPr>
        <w:pStyle w:val="59"/>
        <w:spacing w:line="288" w:lineRule="auto"/>
        <w:ind w:firstLine="420"/>
        <w:rPr>
          <w:color w:val="auto"/>
          <w:highlight w:val="none"/>
        </w:rPr>
      </w:pPr>
      <w:r>
        <w:rPr>
          <w:rFonts w:hint="eastAsia" w:ascii="宋体" w:hAnsi="Times New Roman" w:eastAsia="宋体" w:cs="Times New Roman"/>
          <w:color w:val="000000" w:themeColor="text1"/>
          <w:sz w:val="21"/>
          <w:highlight w:val="none"/>
          <w:lang w:val="en-US" w:eastAsia="zh-CN" w:bidi="ar-SA"/>
          <w14:textFill>
            <w14:solidFill>
              <w14:schemeClr w14:val="tx1"/>
            </w14:solidFill>
          </w14:textFill>
        </w:rPr>
        <w:t>下列文件中的内容通过文中的规范性引用而构成本</w:t>
      </w:r>
      <w:r>
        <w:rPr>
          <w:rFonts w:hint="eastAsia" w:cs="Times New Roman"/>
          <w:color w:val="000000" w:themeColor="text1"/>
          <w:sz w:val="21"/>
          <w:highlight w:val="none"/>
          <w:lang w:val="en-US" w:eastAsia="zh-CN" w:bidi="ar-SA"/>
          <w14:textFill>
            <w14:solidFill>
              <w14:schemeClr w14:val="tx1"/>
            </w14:solidFill>
          </w14:textFill>
        </w:rPr>
        <w:t>文件</w:t>
      </w:r>
      <w:r>
        <w:rPr>
          <w:rFonts w:hint="eastAsia" w:ascii="宋体" w:hAnsi="Times New Roman" w:eastAsia="宋体" w:cs="Times New Roman"/>
          <w:color w:val="000000" w:themeColor="text1"/>
          <w:sz w:val="21"/>
          <w:highlight w:val="none"/>
          <w:lang w:val="en-US" w:eastAsia="zh-CN" w:bidi="ar-SA"/>
          <w14:textFill>
            <w14:solidFill>
              <w14:schemeClr w14:val="tx1"/>
            </w14:solidFill>
          </w14:textFill>
        </w:rPr>
        <w:t>必不可少的条款。其中，注日期的引用文件，仅该日期对应的版本适用于</w:t>
      </w:r>
      <w:r>
        <w:rPr>
          <w:rFonts w:hint="eastAsia" w:ascii="宋体" w:hAnsi="Times New Roman" w:eastAsia="宋体" w:cs="Times New Roman"/>
          <w:color w:val="auto"/>
          <w:sz w:val="21"/>
          <w:highlight w:val="none"/>
          <w:lang w:val="en-US" w:eastAsia="zh-CN" w:bidi="ar-SA"/>
        </w:rPr>
        <w:t>本</w:t>
      </w:r>
      <w:r>
        <w:rPr>
          <w:rFonts w:hint="eastAsia" w:cs="Times New Roman"/>
          <w:color w:val="auto"/>
          <w:sz w:val="21"/>
          <w:highlight w:val="none"/>
          <w:lang w:val="en-US" w:eastAsia="zh-CN" w:bidi="ar-SA"/>
        </w:rPr>
        <w:t>文件</w:t>
      </w:r>
      <w:r>
        <w:rPr>
          <w:rFonts w:hint="eastAsia" w:ascii="宋体" w:hAnsi="Times New Roman" w:eastAsia="宋体" w:cs="Times New Roman"/>
          <w:color w:val="auto"/>
          <w:sz w:val="21"/>
          <w:highlight w:val="none"/>
          <w:lang w:val="en-US" w:eastAsia="zh-CN" w:bidi="ar-SA"/>
        </w:rPr>
        <w:t>；不注日期的引用文件，其最新版本（包括所有的修改单）适用于本</w:t>
      </w:r>
      <w:r>
        <w:rPr>
          <w:rFonts w:hint="eastAsia" w:cs="Times New Roman"/>
          <w:color w:val="auto"/>
          <w:sz w:val="21"/>
          <w:highlight w:val="none"/>
          <w:lang w:val="en-US" w:eastAsia="zh-CN" w:bidi="ar-SA"/>
        </w:rPr>
        <w:t>文件</w:t>
      </w:r>
      <w:r>
        <w:rPr>
          <w:rFonts w:hint="eastAsia" w:ascii="宋体" w:hAnsi="Times New Roman" w:eastAsia="宋体" w:cs="Times New Roman"/>
          <w:color w:val="auto"/>
          <w:sz w:val="21"/>
          <w:highlight w:val="none"/>
          <w:lang w:val="en-US" w:eastAsia="zh-CN" w:bidi="ar-SA"/>
        </w:rPr>
        <w:t>。</w:t>
      </w:r>
    </w:p>
    <w:p>
      <w:pPr>
        <w:pStyle w:val="123"/>
        <w:spacing w:line="288" w:lineRule="auto"/>
        <w:rPr>
          <w:rFonts w:ascii="Times New Roman" w:hAnsi="Times New Roman"/>
          <w:color w:val="auto"/>
          <w:highlight w:val="none"/>
        </w:rPr>
      </w:pPr>
      <w:r>
        <w:rPr>
          <w:rFonts w:hint="eastAsia"/>
          <w:color w:val="auto"/>
          <w:szCs w:val="22"/>
          <w:highlight w:val="none"/>
          <w:lang w:val="en-US" w:eastAsia="zh-CN"/>
        </w:rPr>
        <w:t>TSG 11</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eastAsia"/>
          <w:color w:val="auto"/>
          <w:szCs w:val="22"/>
          <w:highlight w:val="none"/>
          <w:lang w:val="en-US" w:eastAsia="zh-CN"/>
        </w:rPr>
        <w:t>锅炉安全技术规程</w:t>
      </w:r>
    </w:p>
    <w:p>
      <w:pPr>
        <w:pStyle w:val="123"/>
        <w:spacing w:line="288" w:lineRule="auto"/>
        <w:rPr>
          <w:rFonts w:ascii="Times New Roman" w:hAnsi="Times New Roman"/>
          <w:color w:val="auto"/>
          <w:highlight w:val="none"/>
        </w:rPr>
      </w:pPr>
      <w:r>
        <w:rPr>
          <w:rFonts w:hint="eastAsia"/>
          <w:color w:val="auto"/>
          <w:szCs w:val="22"/>
          <w:highlight w:val="none"/>
          <w:lang w:val="en-US" w:eastAsia="zh-CN"/>
        </w:rPr>
        <w:t>TSG 91</w:t>
      </w:r>
      <w:r>
        <w:rPr>
          <w:rFonts w:hint="eastAsia" w:ascii="Times New Roman" w:hAnsi="Times New Roman"/>
          <w:color w:val="auto"/>
          <w:highlight w:val="none"/>
        </w:rPr>
        <w:t xml:space="preserve">  </w:t>
      </w:r>
      <w:r>
        <w:rPr>
          <w:rFonts w:hint="eastAsia" w:ascii="Times New Roman" w:hAnsi="Times New Roman"/>
          <w:color w:val="auto"/>
          <w:highlight w:val="none"/>
          <w:lang w:val="en-US" w:eastAsia="zh-CN"/>
        </w:rPr>
        <w:t xml:space="preserve">    </w:t>
      </w:r>
      <w:r>
        <w:rPr>
          <w:rFonts w:hint="default"/>
          <w:color w:val="auto"/>
          <w:szCs w:val="22"/>
          <w:highlight w:val="none"/>
          <w:lang w:val="en-US" w:eastAsia="zh-CN"/>
        </w:rPr>
        <w:fldChar w:fldCharType="begin"/>
      </w:r>
      <w:r>
        <w:rPr>
          <w:rFonts w:hint="default"/>
          <w:color w:val="auto"/>
          <w:szCs w:val="22"/>
          <w:highlight w:val="none"/>
          <w:lang w:val="en-US" w:eastAsia="zh-CN"/>
        </w:rPr>
        <w:instrText xml:space="preserve"> HYPERLINK "http://www.baidu.com/link?url=RkHg7KGBC_jwWi7P4w96i6LFrJ1spsX1Xa0fESf9KC83bdxBiaQObnojkrl96kGILhjOvc0expzQ8bF-MnvYeRLt02owuZdqQBbLVqwc4je" \t "https://www.baidu.com/_blank" </w:instrText>
      </w:r>
      <w:r>
        <w:rPr>
          <w:rFonts w:hint="default"/>
          <w:color w:val="auto"/>
          <w:szCs w:val="22"/>
          <w:highlight w:val="none"/>
          <w:lang w:val="en-US" w:eastAsia="zh-CN"/>
        </w:rPr>
        <w:fldChar w:fldCharType="separate"/>
      </w:r>
      <w:r>
        <w:rPr>
          <w:rFonts w:hint="default"/>
          <w:color w:val="auto"/>
          <w:szCs w:val="22"/>
          <w:highlight w:val="none"/>
          <w:lang w:val="en-US" w:eastAsia="zh-CN"/>
        </w:rPr>
        <w:t>锅炉节能环保技术规程</w:t>
      </w:r>
      <w:r>
        <w:rPr>
          <w:rFonts w:hint="default"/>
          <w:color w:val="auto"/>
          <w:szCs w:val="22"/>
          <w:highlight w:val="none"/>
          <w:lang w:val="en-US" w:eastAsia="zh-CN"/>
        </w:rPr>
        <w:fldChar w:fldCharType="end"/>
      </w:r>
    </w:p>
    <w:p>
      <w:pPr>
        <w:pStyle w:val="123"/>
        <w:spacing w:line="288" w:lineRule="auto"/>
        <w:rPr>
          <w:rFonts w:hint="eastAsia"/>
          <w:color w:val="auto"/>
          <w:szCs w:val="22"/>
          <w:highlight w:val="none"/>
          <w:lang w:val="en-US" w:eastAsia="zh-CN"/>
        </w:rPr>
      </w:pPr>
      <w:r>
        <w:rPr>
          <w:rFonts w:hint="eastAsia"/>
          <w:color w:val="auto"/>
          <w:szCs w:val="22"/>
          <w:highlight w:val="none"/>
          <w:lang w:val="en-US" w:eastAsia="zh-CN"/>
        </w:rPr>
        <w:t xml:space="preserve">GB </w:t>
      </w:r>
      <w:r>
        <w:rPr>
          <w:rFonts w:hint="default"/>
          <w:color w:val="auto"/>
          <w:szCs w:val="22"/>
          <w:highlight w:val="none"/>
          <w:lang w:val="en-US" w:eastAsia="zh-CN"/>
        </w:rPr>
        <w:t>13271 </w:t>
      </w:r>
      <w:r>
        <w:rPr>
          <w:rFonts w:hint="eastAsia"/>
          <w:color w:val="auto"/>
          <w:szCs w:val="22"/>
          <w:highlight w:val="none"/>
          <w:lang w:val="en-US" w:eastAsia="zh-CN"/>
        </w:rPr>
        <w:t xml:space="preserve">   </w:t>
      </w:r>
      <w:r>
        <w:rPr>
          <w:rFonts w:hint="default"/>
          <w:color w:val="auto"/>
          <w:szCs w:val="22"/>
          <w:highlight w:val="none"/>
          <w:lang w:val="en-US" w:eastAsia="zh-CN"/>
        </w:rPr>
        <w:t>锅炉大气污染物排放标准</w:t>
      </w:r>
    </w:p>
    <w:p>
      <w:pPr>
        <w:pStyle w:val="123"/>
        <w:spacing w:line="288" w:lineRule="auto"/>
        <w:rPr>
          <w:rFonts w:hint="eastAsia"/>
          <w:color w:val="auto"/>
          <w:szCs w:val="22"/>
          <w:highlight w:val="none"/>
          <w:lang w:val="en-US" w:eastAsia="zh-CN"/>
        </w:rPr>
      </w:pPr>
      <w:r>
        <w:rPr>
          <w:rFonts w:hint="eastAsia"/>
          <w:color w:val="auto"/>
          <w:szCs w:val="22"/>
          <w:highlight w:val="none"/>
          <w:lang w:val="en-US" w:eastAsia="zh-CN"/>
        </w:rPr>
        <w:t>GB 13223    火电厂大气污染物排放标准</w:t>
      </w:r>
    </w:p>
    <w:p>
      <w:pPr>
        <w:pStyle w:val="123"/>
        <w:spacing w:line="288" w:lineRule="auto"/>
        <w:rPr>
          <w:rFonts w:hint="eastAsia"/>
          <w:color w:val="auto"/>
          <w:szCs w:val="22"/>
          <w:highlight w:val="none"/>
          <w:lang w:val="en-US" w:eastAsia="zh-CN"/>
        </w:rPr>
      </w:pPr>
      <w:r>
        <w:rPr>
          <w:rFonts w:hint="eastAsia"/>
          <w:color w:val="auto"/>
          <w:szCs w:val="22"/>
          <w:highlight w:val="none"/>
          <w:lang w:val="en-US" w:eastAsia="zh-CN"/>
        </w:rPr>
        <w:t>GB 18485   生活垃圾焚烧污染控制标准</w:t>
      </w:r>
    </w:p>
    <w:p>
      <w:pPr>
        <w:pStyle w:val="123"/>
        <w:spacing w:line="288" w:lineRule="auto"/>
        <w:rPr>
          <w:rFonts w:hint="eastAsia"/>
          <w:color w:val="auto"/>
          <w:szCs w:val="22"/>
          <w:highlight w:val="none"/>
          <w:lang w:val="en-US" w:eastAsia="zh-CN"/>
        </w:rPr>
      </w:pPr>
      <w:r>
        <w:rPr>
          <w:rFonts w:hint="eastAsia" w:cs="Times New Roman"/>
          <w:color w:val="auto"/>
          <w:szCs w:val="22"/>
          <w:highlight w:val="none"/>
          <w:lang w:val="en-US" w:eastAsia="zh-CN"/>
        </w:rPr>
        <w:t>GB 24500    工业锅炉能效限定值及能效等级</w:t>
      </w:r>
    </w:p>
    <w:p>
      <w:pPr>
        <w:pStyle w:val="123"/>
        <w:spacing w:line="288" w:lineRule="auto"/>
        <w:rPr>
          <w:rFonts w:hint="eastAsia"/>
          <w:color w:val="auto"/>
          <w:szCs w:val="22"/>
          <w:highlight w:val="none"/>
          <w:lang w:val="en-US" w:eastAsia="zh-CN"/>
        </w:rPr>
      </w:pPr>
      <w:r>
        <w:rPr>
          <w:rFonts w:hint="eastAsia"/>
          <w:color w:val="auto"/>
          <w:szCs w:val="22"/>
          <w:highlight w:val="none"/>
          <w:lang w:val="en-US" w:eastAsia="zh-CN"/>
        </w:rPr>
        <w:fldChar w:fldCharType="begin"/>
      </w:r>
      <w:r>
        <w:rPr>
          <w:rFonts w:hint="eastAsia"/>
          <w:color w:val="auto"/>
          <w:szCs w:val="22"/>
          <w:highlight w:val="none"/>
          <w:lang w:val="en-US" w:eastAsia="zh-CN"/>
        </w:rPr>
        <w:instrText xml:space="preserve"> HYPERLINK "http://www.bzfxw.com/soft/sort027/bzjsw/422168.html" \o "GBT16507《水管锅炉》 、GBT&lt;font color='red'&gt;16508&lt;/font&gt;《锅壳锅炉》学习与交流" \t "http://www.bzfxw.com/so/result/_blank" </w:instrText>
      </w:r>
      <w:r>
        <w:rPr>
          <w:rFonts w:hint="eastAsia"/>
          <w:color w:val="auto"/>
          <w:szCs w:val="22"/>
          <w:highlight w:val="none"/>
          <w:lang w:val="en-US" w:eastAsia="zh-CN"/>
        </w:rPr>
        <w:fldChar w:fldCharType="separate"/>
      </w:r>
      <w:r>
        <w:rPr>
          <w:rFonts w:hint="eastAsia"/>
          <w:color w:val="auto"/>
          <w:szCs w:val="22"/>
          <w:highlight w:val="none"/>
          <w:lang w:val="en-US" w:eastAsia="zh-CN"/>
        </w:rPr>
        <w:t>GB/T 16507  水管锅炉</w:t>
      </w:r>
    </w:p>
    <w:p>
      <w:pPr>
        <w:pStyle w:val="123"/>
        <w:spacing w:line="288" w:lineRule="auto"/>
        <w:rPr>
          <w:rFonts w:hint="eastAsia"/>
          <w:color w:val="auto"/>
          <w:szCs w:val="22"/>
          <w:highlight w:val="none"/>
          <w:lang w:val="en-US" w:eastAsia="zh-CN"/>
        </w:rPr>
      </w:pPr>
      <w:r>
        <w:rPr>
          <w:rFonts w:hint="eastAsia"/>
          <w:color w:val="auto"/>
          <w:szCs w:val="22"/>
          <w:highlight w:val="none"/>
          <w:lang w:val="en-US" w:eastAsia="zh-CN"/>
        </w:rPr>
        <w:t>GB/T 16508  锅壳锅炉</w:t>
      </w:r>
      <w:r>
        <w:rPr>
          <w:rFonts w:hint="eastAsia"/>
          <w:color w:val="auto"/>
          <w:szCs w:val="22"/>
          <w:highlight w:val="none"/>
          <w:lang w:val="en-US" w:eastAsia="zh-CN"/>
        </w:rPr>
        <w:fldChar w:fldCharType="end"/>
      </w:r>
    </w:p>
    <w:p>
      <w:pPr>
        <w:pStyle w:val="123"/>
        <w:spacing w:line="288" w:lineRule="auto"/>
        <w:rPr>
          <w:rFonts w:hint="eastAsia"/>
          <w:color w:val="auto"/>
          <w:szCs w:val="22"/>
          <w:highlight w:val="none"/>
          <w:lang w:val="en-US" w:eastAsia="zh-CN"/>
        </w:rPr>
      </w:pPr>
      <w:r>
        <w:rPr>
          <w:rFonts w:hint="eastAsia"/>
          <w:color w:val="auto"/>
          <w:szCs w:val="22"/>
          <w:highlight w:val="none"/>
          <w:lang w:val="en-US" w:eastAsia="zh-CN"/>
        </w:rPr>
        <w:t>GB/T 30580  电站锅炉主要承压部件寿命评估技术导则</w:t>
      </w:r>
    </w:p>
    <w:p>
      <w:pPr>
        <w:pStyle w:val="123"/>
        <w:spacing w:line="288" w:lineRule="auto"/>
        <w:rPr>
          <w:rFonts w:hint="eastAsia" w:cs="Times New Roman"/>
          <w:color w:val="auto"/>
          <w:szCs w:val="22"/>
          <w:highlight w:val="none"/>
          <w:lang w:val="en-US" w:eastAsia="zh-CN"/>
        </w:rPr>
      </w:pPr>
      <w:r>
        <w:rPr>
          <w:rFonts w:hint="eastAsia" w:cs="Times New Roman"/>
          <w:color w:val="auto"/>
          <w:szCs w:val="22"/>
          <w:highlight w:val="none"/>
          <w:lang w:val="en-US" w:eastAsia="zh-CN"/>
        </w:rPr>
        <w:t>GB/T 42535  锅炉定期检验</w:t>
      </w:r>
    </w:p>
    <w:p>
      <w:pPr>
        <w:pStyle w:val="123"/>
        <w:spacing w:line="288" w:lineRule="auto"/>
        <w:rPr>
          <w:rFonts w:hint="eastAsia" w:cs="Times New Roman"/>
          <w:color w:val="auto"/>
          <w:szCs w:val="22"/>
          <w:highlight w:val="none"/>
          <w:lang w:val="en-US" w:eastAsia="zh-CN"/>
        </w:rPr>
      </w:pPr>
      <w:r>
        <w:rPr>
          <w:rFonts w:hint="eastAsia" w:cs="Times New Roman"/>
          <w:color w:val="auto"/>
          <w:szCs w:val="22"/>
          <w:highlight w:val="none"/>
          <w:lang w:val="en-US" w:eastAsia="zh-CN"/>
        </w:rPr>
        <w:t>GB/T 10184  电站锅炉性能试验规程</w:t>
      </w:r>
    </w:p>
    <w:p>
      <w:pPr>
        <w:pStyle w:val="123"/>
        <w:spacing w:line="288" w:lineRule="auto"/>
        <w:rPr>
          <w:rFonts w:hint="eastAsia" w:cs="Times New Roman"/>
          <w:color w:val="auto"/>
          <w:szCs w:val="22"/>
          <w:highlight w:val="none"/>
          <w:lang w:val="en-US" w:eastAsia="zh-CN"/>
        </w:rPr>
      </w:pPr>
      <w:r>
        <w:rPr>
          <w:rFonts w:hint="eastAsia" w:cs="Times New Roman"/>
          <w:color w:val="auto"/>
          <w:szCs w:val="22"/>
          <w:highlight w:val="none"/>
          <w:lang w:val="en-US" w:eastAsia="zh-CN"/>
        </w:rPr>
        <w:t>GB/T 10180  工业锅炉热工性能试验规程</w:t>
      </w:r>
    </w:p>
    <w:p>
      <w:pPr>
        <w:pStyle w:val="123"/>
        <w:spacing w:line="288" w:lineRule="auto"/>
        <w:rPr>
          <w:rFonts w:hint="eastAsia" w:cs="Times New Roman"/>
          <w:color w:val="auto"/>
          <w:szCs w:val="22"/>
          <w:highlight w:val="none"/>
          <w:lang w:val="en-US" w:eastAsia="zh-CN"/>
        </w:rPr>
      </w:pPr>
      <w:r>
        <w:rPr>
          <w:rFonts w:hint="eastAsia"/>
          <w:color w:val="auto"/>
          <w:szCs w:val="22"/>
          <w:highlight w:val="none"/>
          <w:lang w:val="en-US" w:eastAsia="zh-CN"/>
        </w:rPr>
        <w:t xml:space="preserve">NB/T 47066  </w:t>
      </w:r>
      <w:r>
        <w:rPr>
          <w:rFonts w:hint="eastAsia" w:cs="Times New Roman"/>
          <w:color w:val="auto"/>
          <w:szCs w:val="22"/>
          <w:highlight w:val="none"/>
          <w:lang w:val="en-US" w:eastAsia="zh-CN"/>
        </w:rPr>
        <w:t>冷凝锅炉热工性能试验方法</w:t>
      </w:r>
    </w:p>
    <w:p>
      <w:pPr>
        <w:pStyle w:val="123"/>
        <w:spacing w:line="288" w:lineRule="auto"/>
        <w:rPr>
          <w:rFonts w:hint="eastAsia"/>
          <w:color w:val="auto"/>
          <w:szCs w:val="22"/>
          <w:highlight w:val="none"/>
          <w:lang w:val="en-US" w:eastAsia="zh-CN"/>
        </w:rPr>
      </w:pPr>
      <w:r>
        <w:rPr>
          <w:rFonts w:hint="eastAsia"/>
          <w:color w:val="auto"/>
          <w:szCs w:val="22"/>
          <w:highlight w:val="none"/>
          <w:lang w:val="en-US" w:eastAsia="zh-CN"/>
        </w:rPr>
        <w:t>DB 50/658   锅炉大气污染物排放标准</w:t>
      </w:r>
    </w:p>
    <w:p>
      <w:pPr>
        <w:pStyle w:val="123"/>
        <w:spacing w:line="288" w:lineRule="auto"/>
        <w:rPr>
          <w:rFonts w:hint="eastAsia"/>
          <w:color w:val="auto"/>
          <w:szCs w:val="22"/>
          <w:highlight w:val="none"/>
          <w:lang w:val="en-US" w:eastAsia="zh-CN"/>
        </w:rPr>
      </w:pPr>
      <w:r>
        <w:rPr>
          <w:rFonts w:hint="eastAsia"/>
          <w:color w:val="auto"/>
          <w:szCs w:val="22"/>
          <w:highlight w:val="none"/>
          <w:lang w:val="en-US" w:eastAsia="zh-CN"/>
        </w:rPr>
        <w:t>DB 50/T 1699.1 特种设备更新评估导则 第1部分：总则</w:t>
      </w:r>
    </w:p>
    <w:p>
      <w:pPr>
        <w:pStyle w:val="107"/>
        <w:spacing w:before="240" w:after="240"/>
        <w:rPr>
          <w:color w:val="000000" w:themeColor="text1"/>
          <w:highlight w:val="none"/>
          <w14:textFill>
            <w14:solidFill>
              <w14:schemeClr w14:val="tx1"/>
            </w14:solidFill>
          </w14:textFill>
        </w:rPr>
      </w:pPr>
      <w:bookmarkStart w:id="43" w:name="_Toc810"/>
      <w:bookmarkStart w:id="44" w:name="_Toc24922"/>
      <w:r>
        <w:rPr>
          <w:rFonts w:hint="eastAsia"/>
          <w:color w:val="000000" w:themeColor="text1"/>
          <w:highlight w:val="none"/>
          <w14:textFill>
            <w14:solidFill>
              <w14:schemeClr w14:val="tx1"/>
            </w14:solidFill>
          </w14:textFill>
        </w:rPr>
        <w:t>术语和定义</w:t>
      </w:r>
      <w:bookmarkEnd w:id="43"/>
      <w:bookmarkEnd w:id="44"/>
    </w:p>
    <w:sdt>
      <w:sdtPr>
        <w:rPr>
          <w:color w:val="000000" w:themeColor="text1"/>
          <w:highlight w:val="none"/>
          <w14:textFill>
            <w14:solidFill>
              <w14:schemeClr w14:val="tx1"/>
            </w14:solidFill>
          </w14:textFill>
        </w:rPr>
        <w:id w:val="-1"/>
        <w:placeholder>
          <w:docPart w:val="77259CC9240C405FB1444E6723B8B7B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000000" w:themeColor="text1"/>
          <w:highlight w:val="none"/>
          <w14:textFill>
            <w14:solidFill>
              <w14:schemeClr w14:val="tx1"/>
            </w14:solidFill>
          </w14:textFill>
        </w:rPr>
      </w:sdtEndPr>
      <w:sdtContent>
        <w:p>
          <w:pPr>
            <w:pStyle w:val="59"/>
            <w:spacing w:line="288" w:lineRule="auto"/>
            <w:ind w:firstLine="420"/>
            <w:rPr>
              <w:rFonts w:hint="eastAsia"/>
            </w:rPr>
          </w:pPr>
          <w:bookmarkStart w:id="45" w:name="_Toc26986532"/>
          <w:bookmarkEnd w:id="45"/>
          <w:r>
            <w:rPr>
              <w:rFonts w:hint="eastAsia"/>
              <w:color w:val="000000" w:themeColor="text1"/>
              <w:highlight w:val="none"/>
              <w14:textFill>
                <w14:solidFill>
                  <w14:schemeClr w14:val="tx1"/>
                </w14:solidFill>
              </w14:textFill>
            </w:rPr>
            <w:t>下列术语和定义适用于本</w:t>
          </w:r>
          <w:r>
            <w:rPr>
              <w:rFonts w:hint="eastAsia"/>
              <w:color w:val="000000" w:themeColor="text1"/>
              <w:highlight w:val="none"/>
              <w:lang w:eastAsia="zh-CN"/>
              <w14:textFill>
                <w14:solidFill>
                  <w14:schemeClr w14:val="tx1"/>
                </w14:solidFill>
              </w14:textFill>
            </w:rPr>
            <w:t>文件</w:t>
          </w:r>
          <w:r>
            <w:rPr>
              <w:color w:val="000000" w:themeColor="text1"/>
              <w:highlight w:val="none"/>
              <w14:textFill>
                <w14:solidFill>
                  <w14:schemeClr w14:val="tx1"/>
                </w14:solidFill>
              </w14:textFill>
            </w:rPr>
            <w:t>。</w:t>
          </w:r>
        </w:p>
      </w:sdtContent>
    </w:sdt>
    <w:p>
      <w:pPr>
        <w:pStyle w:val="123"/>
        <w:spacing w:line="288" w:lineRule="auto"/>
        <w:ind w:firstLine="0" w:firstLineChars="0"/>
        <w:rPr>
          <w:rFonts w:hint="eastAsia" w:ascii="黑体" w:hAnsi="黑体" w:eastAsia="黑体"/>
          <w:color w:val="auto"/>
          <w:szCs w:val="22"/>
          <w:highlight w:val="none"/>
          <w:lang w:val="en-US" w:eastAsia="zh-CN"/>
        </w:rPr>
      </w:pPr>
      <w:r>
        <w:rPr>
          <w:rFonts w:hint="eastAsia" w:ascii="黑体" w:hAnsi="黑体" w:eastAsia="黑体"/>
          <w:color w:val="auto"/>
          <w:szCs w:val="22"/>
          <w:highlight w:val="none"/>
          <w:lang w:val="en-US" w:eastAsia="zh-CN"/>
        </w:rPr>
        <w:t>3.1</w:t>
      </w:r>
    </w:p>
    <w:p>
      <w:pPr>
        <w:spacing w:line="400" w:lineRule="exact"/>
        <w:ind w:firstLine="420" w:firstLineChars="200"/>
        <w:jc w:val="left"/>
        <w:rPr>
          <w:rFonts w:hint="eastAsia" w:ascii="黑体" w:hAnsi="黑体" w:eastAsia="黑体" w:cs="黑体"/>
          <w:color w:val="auto"/>
          <w:szCs w:val="21"/>
          <w:lang w:eastAsia="zh-CN"/>
        </w:rPr>
      </w:pPr>
      <w:r>
        <w:rPr>
          <w:rFonts w:hint="eastAsia" w:ascii="黑体" w:hAnsi="黑体" w:eastAsia="黑体" w:cs="黑体"/>
          <w:color w:val="auto"/>
          <w:szCs w:val="21"/>
          <w:lang w:eastAsia="zh-CN"/>
        </w:rPr>
        <w:t>锅炉系统</w:t>
      </w:r>
      <w:r>
        <w:rPr>
          <w:rFonts w:hint="eastAsia" w:ascii="黑体" w:hAnsi="黑体" w:eastAsia="黑体" w:cs="黑体"/>
          <w:color w:val="auto"/>
          <w:szCs w:val="21"/>
          <w:lang w:val="en-US" w:eastAsia="zh-CN"/>
        </w:rPr>
        <w:t xml:space="preserve"> b</w:t>
      </w:r>
      <w:r>
        <w:rPr>
          <w:rFonts w:hint="eastAsia" w:ascii="黑体" w:hAnsi="黑体" w:eastAsia="黑体" w:cs="Times New Roman"/>
          <w:color w:val="auto"/>
          <w:kern w:val="0"/>
          <w:sz w:val="21"/>
          <w:szCs w:val="22"/>
          <w:highlight w:val="none"/>
          <w:lang w:val="en-US" w:eastAsia="zh-CN" w:bidi="ar-SA"/>
        </w:rPr>
        <w:t>oiler system</w:t>
      </w:r>
    </w:p>
    <w:p>
      <w:pPr>
        <w:spacing w:line="400" w:lineRule="exact"/>
        <w:ind w:firstLine="420" w:firstLineChars="200"/>
        <w:jc w:val="left"/>
        <w:rPr>
          <w:rFonts w:hint="eastAsia"/>
          <w:color w:val="auto"/>
          <w:szCs w:val="21"/>
          <w:lang w:val="en-US" w:eastAsia="zh-CN"/>
        </w:rPr>
      </w:pPr>
      <w:r>
        <w:rPr>
          <w:rFonts w:hint="eastAsia"/>
          <w:color w:val="auto"/>
          <w:szCs w:val="21"/>
          <w:lang w:val="en-US" w:eastAsia="zh-CN"/>
        </w:rPr>
        <w:t>是指</w:t>
      </w:r>
      <w:bookmarkStart w:id="46" w:name="OLE_LINK1"/>
      <w:r>
        <w:rPr>
          <w:rFonts w:hint="eastAsia"/>
          <w:color w:val="auto"/>
          <w:szCs w:val="21"/>
          <w:lang w:val="en-US" w:eastAsia="zh-CN"/>
        </w:rPr>
        <w:t>锅炉本体、锅炉范围内管道、锅炉安全附件和仪表、锅炉辅助设备及系统</w:t>
      </w:r>
      <w:bookmarkEnd w:id="46"/>
      <w:r>
        <w:rPr>
          <w:rFonts w:hint="eastAsia"/>
          <w:color w:val="auto"/>
          <w:szCs w:val="21"/>
          <w:lang w:val="en-US" w:eastAsia="zh-CN"/>
        </w:rPr>
        <w:t>组成的整体。</w:t>
      </w:r>
    </w:p>
    <w:p>
      <w:pPr>
        <w:pStyle w:val="123"/>
        <w:spacing w:line="288" w:lineRule="auto"/>
        <w:ind w:firstLine="420" w:firstLineChars="200"/>
        <w:rPr>
          <w:rFonts w:hint="eastAsia" w:ascii="Calibri" w:cs="Times New Roman"/>
          <w:color w:val="auto"/>
          <w:kern w:val="2"/>
          <w:sz w:val="21"/>
          <w:szCs w:val="21"/>
          <w:lang w:val="en-US" w:eastAsia="zh-CN" w:bidi="ar-SA"/>
        </w:rPr>
      </w:pPr>
      <w:r>
        <w:rPr>
          <w:rFonts w:hint="eastAsia" w:ascii="Calibri" w:cs="Times New Roman"/>
          <w:color w:val="auto"/>
          <w:kern w:val="2"/>
          <w:sz w:val="21"/>
          <w:szCs w:val="21"/>
          <w:lang w:val="en-US" w:eastAsia="zh-CN" w:bidi="ar-SA"/>
        </w:rPr>
        <w:t>[注：源自TSG11]</w:t>
      </w:r>
    </w:p>
    <w:p>
      <w:pPr>
        <w:pStyle w:val="123"/>
        <w:spacing w:line="288" w:lineRule="auto"/>
        <w:ind w:firstLine="0" w:firstLineChars="0"/>
        <w:rPr>
          <w:rFonts w:hint="eastAsia" w:ascii="黑体" w:hAnsi="黑体" w:eastAsia="黑体"/>
          <w:color w:val="auto"/>
          <w:szCs w:val="22"/>
          <w:highlight w:val="none"/>
          <w:lang w:val="en-US" w:eastAsia="zh-CN"/>
        </w:rPr>
      </w:pPr>
      <w:r>
        <w:rPr>
          <w:rFonts w:hint="eastAsia" w:ascii="黑体" w:hAnsi="黑体" w:eastAsia="黑体"/>
          <w:color w:val="auto"/>
          <w:szCs w:val="22"/>
          <w:highlight w:val="none"/>
          <w:lang w:val="en-US" w:eastAsia="zh-CN"/>
        </w:rPr>
        <w:t>3.2</w:t>
      </w:r>
    </w:p>
    <w:p>
      <w:pPr>
        <w:pStyle w:val="123"/>
        <w:spacing w:line="288" w:lineRule="auto"/>
        <w:ind w:firstLine="420" w:firstLineChars="200"/>
        <w:rPr>
          <w:rFonts w:hint="eastAsia" w:ascii="黑体" w:hAnsi="黑体" w:eastAsia="黑体"/>
          <w:color w:val="auto"/>
          <w:highlight w:val="none"/>
          <w:lang w:val="en-US" w:eastAsia="zh-CN"/>
        </w:rPr>
      </w:pPr>
      <w:r>
        <w:rPr>
          <w:rFonts w:hint="eastAsia" w:ascii="黑体" w:hAnsi="黑体" w:eastAsia="黑体"/>
          <w:color w:val="auto"/>
          <w:highlight w:val="none"/>
          <w:lang w:val="en-US" w:eastAsia="zh-CN"/>
        </w:rPr>
        <w:t>维保 maintenance</w:t>
      </w:r>
    </w:p>
    <w:p>
      <w:pPr>
        <w:spacing w:line="400" w:lineRule="exact"/>
        <w:ind w:firstLine="420"/>
        <w:jc w:val="left"/>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t>是指通过系统化、周期性的检查、清洁、调试</w:t>
      </w:r>
      <w:r>
        <w:rPr>
          <w:rFonts w:hint="eastAsia" w:cs="Times New Roman"/>
          <w:color w:val="000000" w:themeColor="text1"/>
          <w:kern w:val="2"/>
          <w:sz w:val="21"/>
          <w:szCs w:val="21"/>
          <w:lang w:val="en-US" w:eastAsia="zh-CN" w:bidi="ar-SA"/>
          <w14:textFill>
            <w14:solidFill>
              <w14:schemeClr w14:val="tx1"/>
            </w14:solidFill>
          </w14:textFill>
        </w:rPr>
        <w:t>及</w:t>
      </w:r>
      <w: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t>维修等手段，确保锅炉系统安全、</w:t>
      </w:r>
      <w:r>
        <w:rPr>
          <w:rFonts w:hint="eastAsia" w:cs="Times New Roman"/>
          <w:color w:val="000000" w:themeColor="text1"/>
          <w:kern w:val="2"/>
          <w:sz w:val="21"/>
          <w:szCs w:val="21"/>
          <w:lang w:val="en-US" w:eastAsia="zh-CN" w:bidi="ar-SA"/>
          <w14:textFill>
            <w14:solidFill>
              <w14:schemeClr w14:val="tx1"/>
            </w14:solidFill>
          </w14:textFill>
        </w:rPr>
        <w:t>节能</w:t>
      </w:r>
      <w: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t>、</w:t>
      </w:r>
      <w:r>
        <w:rPr>
          <w:rFonts w:hint="eastAsia" w:cs="Times New Roman"/>
          <w:color w:val="000000" w:themeColor="text1"/>
          <w:kern w:val="2"/>
          <w:sz w:val="21"/>
          <w:szCs w:val="21"/>
          <w:lang w:val="en-US" w:eastAsia="zh-CN" w:bidi="ar-SA"/>
          <w14:textFill>
            <w14:solidFill>
              <w14:schemeClr w14:val="tx1"/>
            </w14:solidFill>
          </w14:textFill>
        </w:rPr>
        <w:t>环保</w:t>
      </w:r>
      <w: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t>运行的行为。</w:t>
      </w:r>
    </w:p>
    <w:p>
      <w:pPr>
        <w:pStyle w:val="123"/>
        <w:spacing w:line="288" w:lineRule="auto"/>
        <w:ind w:firstLine="0" w:firstLineChars="0"/>
        <w:rPr>
          <w:rFonts w:hint="eastAsia" w:ascii="黑体" w:hAnsi="黑体" w:eastAsia="黑体"/>
          <w:color w:val="000000" w:themeColor="text1"/>
          <w:highlight w:val="none"/>
          <w:lang w:val="en-US" w:eastAsia="zh-CN"/>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3.</w:t>
      </w:r>
      <w:r>
        <w:rPr>
          <w:rFonts w:hint="eastAsia" w:ascii="黑体" w:hAnsi="黑体" w:eastAsia="黑体"/>
          <w:color w:val="000000" w:themeColor="text1"/>
          <w:highlight w:val="none"/>
          <w:lang w:val="en-US" w:eastAsia="zh-CN"/>
          <w14:textFill>
            <w14:solidFill>
              <w14:schemeClr w14:val="tx1"/>
            </w14:solidFill>
          </w14:textFill>
        </w:rPr>
        <w:t xml:space="preserve">3 </w:t>
      </w:r>
    </w:p>
    <w:p>
      <w:pPr>
        <w:pStyle w:val="123"/>
        <w:spacing w:line="288" w:lineRule="auto"/>
        <w:ind w:firstLine="420" w:firstLineChars="200"/>
        <w:rPr>
          <w:rFonts w:hint="eastAsia" w:ascii="黑体" w:hAnsi="黑体" w:eastAsia="黑体"/>
          <w:color w:val="000000" w:themeColor="text1"/>
          <w:highlight w:val="none"/>
          <w:lang w:val="en-US" w:eastAsia="zh-CN"/>
          <w14:textFill>
            <w14:solidFill>
              <w14:schemeClr w14:val="tx1"/>
            </w14:solidFill>
          </w14:textFill>
        </w:rPr>
      </w:pPr>
      <w:r>
        <w:rPr>
          <w:rFonts w:hint="eastAsia" w:ascii="黑体" w:hAnsi="黑体" w:eastAsia="黑体"/>
          <w:color w:val="000000" w:themeColor="text1"/>
          <w:highlight w:val="none"/>
          <w:lang w:val="en-US" w:eastAsia="zh-CN"/>
          <w14:textFill>
            <w14:solidFill>
              <w14:schemeClr w14:val="tx1"/>
            </w14:solidFill>
          </w14:textFill>
        </w:rPr>
        <w:t>修理 repair</w:t>
      </w:r>
    </w:p>
    <w:p>
      <w:pPr>
        <w:pStyle w:val="123"/>
        <w:spacing w:line="288" w:lineRule="auto"/>
        <w:rPr>
          <w:rFonts w:hint="eastAsia" w:ascii="黑体" w:hAnsi="黑体" w:eastAsia="黑体"/>
          <w:color w:val="000000" w:themeColor="text1"/>
          <w:highlight w:val="none"/>
          <w:lang w:val="en-US" w:eastAsia="zh-CN"/>
          <w14:textFill>
            <w14:solidFill>
              <w14:schemeClr w14:val="tx1"/>
            </w14:solidFill>
          </w14:textFill>
        </w:rPr>
      </w:pPr>
      <w:r>
        <w:rPr>
          <w:rFonts w:hint="eastAsia" w:ascii="Calibri" w:cs="Times New Roman"/>
          <w:color w:val="000000" w:themeColor="text1"/>
          <w:kern w:val="2"/>
          <w:sz w:val="21"/>
          <w:szCs w:val="21"/>
          <w:lang w:val="en-US" w:eastAsia="zh-CN" w:bidi="ar-SA"/>
          <w14:textFill>
            <w14:solidFill>
              <w14:schemeClr w14:val="tx1"/>
            </w14:solidFill>
          </w14:textFill>
        </w:rPr>
        <w:t>是指对锅炉系统进行补焊、挖补、</w:t>
      </w:r>
      <w:r>
        <w:rPr>
          <w:rFonts w:hint="eastAsia" w:ascii="Calibri" w:cs="Times New Roman"/>
          <w:color w:val="auto"/>
          <w:kern w:val="2"/>
          <w:sz w:val="21"/>
          <w:szCs w:val="21"/>
          <w:lang w:val="en-US" w:eastAsia="zh-CN" w:bidi="ar-SA"/>
        </w:rPr>
        <w:t>部分</w:t>
      </w:r>
      <w:r>
        <w:rPr>
          <w:rFonts w:hint="eastAsia" w:ascii="Calibri" w:cs="Times New Roman"/>
          <w:color w:val="000000" w:themeColor="text1"/>
          <w:kern w:val="2"/>
          <w:sz w:val="21"/>
          <w:szCs w:val="21"/>
          <w:lang w:val="en-US" w:eastAsia="zh-CN" w:bidi="ar-SA"/>
          <w14:textFill>
            <w14:solidFill>
              <w14:schemeClr w14:val="tx1"/>
            </w14:solidFill>
          </w14:textFill>
        </w:rPr>
        <w:t>更换的行为，但不改变锅炉本体承压结构和燃烧方式。</w:t>
      </w:r>
    </w:p>
    <w:p>
      <w:pPr>
        <w:pStyle w:val="123"/>
        <w:spacing w:line="288" w:lineRule="auto"/>
        <w:ind w:firstLine="0" w:firstLineChars="0"/>
        <w:rPr>
          <w:rFonts w:hint="eastAsia" w:ascii="黑体" w:hAnsi="黑体" w:eastAsia="黑体"/>
          <w:color w:val="000000" w:themeColor="text1"/>
          <w:highlight w:val="none"/>
          <w:lang w:val="en-US" w:eastAsia="zh-CN"/>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3.</w:t>
      </w:r>
      <w:r>
        <w:rPr>
          <w:rFonts w:hint="eastAsia" w:ascii="黑体" w:hAnsi="黑体" w:eastAsia="黑体"/>
          <w:color w:val="000000" w:themeColor="text1"/>
          <w:highlight w:val="none"/>
          <w:lang w:val="en-US" w:eastAsia="zh-CN"/>
          <w14:textFill>
            <w14:solidFill>
              <w14:schemeClr w14:val="tx1"/>
            </w14:solidFill>
          </w14:textFill>
        </w:rPr>
        <w:t xml:space="preserve">4 </w:t>
      </w:r>
    </w:p>
    <w:p>
      <w:pPr>
        <w:pStyle w:val="123"/>
        <w:spacing w:line="288" w:lineRule="auto"/>
        <w:ind w:firstLine="0" w:firstLineChars="0"/>
        <w:rPr>
          <w:rFonts w:hint="eastAsia" w:ascii="黑体" w:hAnsi="黑体" w:eastAsia="黑体"/>
          <w:color w:val="000000" w:themeColor="text1"/>
          <w:highlight w:val="none"/>
          <w:lang w:val="en-US" w:eastAsia="zh-CN"/>
          <w14:textFill>
            <w14:solidFill>
              <w14:schemeClr w14:val="tx1"/>
            </w14:solidFill>
          </w14:textFill>
        </w:rPr>
      </w:pPr>
      <w:r>
        <w:rPr>
          <w:rFonts w:hint="eastAsia" w:ascii="黑体" w:hAnsi="黑体" w:eastAsia="黑体"/>
          <w:color w:val="000000" w:themeColor="text1"/>
          <w:highlight w:val="none"/>
          <w:lang w:val="en-US" w:eastAsia="zh-CN"/>
          <w14:textFill>
            <w14:solidFill>
              <w14:schemeClr w14:val="tx1"/>
            </w14:solidFill>
          </w14:textFill>
        </w:rPr>
        <w:t xml:space="preserve">   改造 modification</w:t>
      </w:r>
    </w:p>
    <w:p>
      <w:pPr>
        <w:pStyle w:val="123"/>
        <w:spacing w:line="288" w:lineRule="auto"/>
        <w:rPr>
          <w:rFonts w:hint="eastAsia" w:ascii="Calibri" w:cs="Times New Roman"/>
          <w:color w:val="auto"/>
          <w:kern w:val="2"/>
          <w:sz w:val="21"/>
          <w:szCs w:val="21"/>
          <w:lang w:val="en-US" w:eastAsia="zh-CN" w:bidi="ar-SA"/>
        </w:rPr>
      </w:pPr>
      <w:r>
        <w:rPr>
          <w:rFonts w:hint="eastAsia" w:ascii="Calibri" w:cs="Times New Roman"/>
          <w:color w:val="auto"/>
          <w:kern w:val="2"/>
          <w:sz w:val="21"/>
          <w:szCs w:val="21"/>
          <w:lang w:val="en-US" w:eastAsia="zh-CN" w:bidi="ar-SA"/>
        </w:rPr>
        <w:t>是指改变锅炉系统原设计的行为。</w:t>
      </w:r>
    </w:p>
    <w:p>
      <w:pPr>
        <w:pStyle w:val="123"/>
        <w:spacing w:line="288" w:lineRule="auto"/>
        <w:rPr>
          <w:rFonts w:hint="eastAsia" w:ascii="Calibri" w:cs="Times New Roman"/>
          <w:color w:val="auto"/>
          <w:kern w:val="2"/>
          <w:sz w:val="21"/>
          <w:szCs w:val="21"/>
          <w:lang w:val="en-US" w:eastAsia="zh-CN" w:bidi="ar-SA"/>
        </w:rPr>
      </w:pPr>
      <w:r>
        <w:rPr>
          <w:rFonts w:hint="eastAsia" w:ascii="Calibri" w:cs="Times New Roman"/>
          <w:color w:val="auto"/>
          <w:kern w:val="2"/>
          <w:sz w:val="21"/>
          <w:szCs w:val="21"/>
          <w:lang w:val="en-US" w:eastAsia="zh-CN" w:bidi="ar-SA"/>
        </w:rPr>
        <w:t>注：包括锅炉本体承压结构改变、燃烧方式改变、锅炉辅助设备改变等。</w:t>
      </w:r>
    </w:p>
    <w:p>
      <w:pPr>
        <w:pStyle w:val="123"/>
        <w:spacing w:line="288" w:lineRule="auto"/>
        <w:ind w:firstLine="0" w:firstLineChars="0"/>
        <w:rPr>
          <w:rFonts w:hint="eastAsia" w:ascii="黑体" w:hAnsi="黑体" w:eastAsia="黑体"/>
          <w:color w:val="000000" w:themeColor="text1"/>
          <w:highlight w:val="none"/>
          <w:lang w:val="en-US" w:eastAsia="zh-CN"/>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3.</w:t>
      </w:r>
      <w:r>
        <w:rPr>
          <w:rFonts w:hint="eastAsia" w:ascii="黑体" w:hAnsi="黑体" w:eastAsia="黑体"/>
          <w:color w:val="000000" w:themeColor="text1"/>
          <w:highlight w:val="none"/>
          <w:lang w:val="en-US" w:eastAsia="zh-CN"/>
          <w14:textFill>
            <w14:solidFill>
              <w14:schemeClr w14:val="tx1"/>
            </w14:solidFill>
          </w14:textFill>
        </w:rPr>
        <w:t>5</w:t>
      </w:r>
    </w:p>
    <w:p>
      <w:pPr>
        <w:pStyle w:val="123"/>
        <w:spacing w:line="288" w:lineRule="auto"/>
        <w:ind w:firstLine="0" w:firstLineChars="0"/>
        <w:rPr>
          <w:rFonts w:hint="eastAsia" w:ascii="黑体" w:hAnsi="黑体" w:eastAsia="黑体"/>
          <w:color w:val="000000" w:themeColor="text1"/>
          <w:highlight w:val="none"/>
          <w:lang w:val="en-US" w:eastAsia="zh-CN"/>
          <w14:textFill>
            <w14:solidFill>
              <w14:schemeClr w14:val="tx1"/>
            </w14:solidFill>
          </w14:textFill>
        </w:rPr>
      </w:pPr>
      <w:r>
        <w:rPr>
          <w:rFonts w:hint="eastAsia" w:ascii="黑体" w:hAnsi="黑体" w:eastAsia="黑体"/>
          <w:color w:val="000000" w:themeColor="text1"/>
          <w:highlight w:val="none"/>
          <w:lang w:val="en-US" w:eastAsia="zh-CN"/>
          <w14:textFill>
            <w14:solidFill>
              <w14:schemeClr w14:val="tx1"/>
            </w14:solidFill>
          </w14:textFill>
        </w:rPr>
        <w:t xml:space="preserve">    换新 update</w:t>
      </w:r>
    </w:p>
    <w:p>
      <w:pPr>
        <w:pStyle w:val="123"/>
        <w:spacing w:line="288" w:lineRule="auto"/>
        <w:ind w:left="0" w:leftChars="0" w:firstLine="420" w:firstLineChars="200"/>
        <w:jc w:val="left"/>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pPr>
      <w:r>
        <w:rPr>
          <w:rFonts w:hint="eastAsia" w:ascii="Calibri" w:cs="Times New Roman"/>
          <w:color w:val="000000" w:themeColor="text1"/>
          <w:kern w:val="2"/>
          <w:sz w:val="21"/>
          <w:szCs w:val="21"/>
          <w:lang w:val="en-US" w:eastAsia="zh-CN" w:bidi="ar-SA"/>
          <w14:textFill>
            <w14:solidFill>
              <w14:schemeClr w14:val="tx1"/>
            </w14:solidFill>
          </w14:textFill>
        </w:rPr>
        <w:t>除修理和改造以外，</w:t>
      </w:r>
      <w:r>
        <w:rPr>
          <w:rFonts w:hint="eastAsia" w:ascii="Calibri" w:cs="Times New Roman"/>
          <w:strike w:val="0"/>
          <w:dstrike w:val="0"/>
          <w:color w:val="000000" w:themeColor="text1"/>
          <w:kern w:val="2"/>
          <w:sz w:val="21"/>
          <w:szCs w:val="21"/>
          <w:lang w:val="en-US" w:eastAsia="zh-CN" w:bidi="ar-SA"/>
          <w14:textFill>
            <w14:solidFill>
              <w14:schemeClr w14:val="tx1"/>
            </w14:solidFill>
          </w14:textFill>
        </w:rPr>
        <w:t>更换锅炉系统</w:t>
      </w:r>
      <w:r>
        <w:rPr>
          <w:rFonts w:hint="eastAsia" w:ascii="Calibri" w:hAnsi="Calibri" w:eastAsia="宋体" w:cs="Times New Roman"/>
          <w:color w:val="000000" w:themeColor="text1"/>
          <w:kern w:val="2"/>
          <w:sz w:val="21"/>
          <w:szCs w:val="21"/>
          <w:lang w:val="en-US" w:eastAsia="zh-CN" w:bidi="ar-SA"/>
          <w14:textFill>
            <w14:solidFill>
              <w14:schemeClr w14:val="tx1"/>
            </w14:solidFill>
          </w14:textFill>
        </w:rPr>
        <w:t>的行为。</w:t>
      </w:r>
    </w:p>
    <w:p>
      <w:pPr>
        <w:pStyle w:val="123"/>
        <w:spacing w:line="288" w:lineRule="auto"/>
        <w:ind w:firstLine="0" w:firstLineChars="0"/>
        <w:rPr>
          <w:rFonts w:hint="eastAsia" w:ascii="黑体" w:hAnsi="黑体" w:eastAsia="黑体"/>
          <w:color w:val="000000" w:themeColor="text1"/>
          <w:highlight w:val="none"/>
          <w:lang w:val="en-US" w:eastAsia="zh-CN"/>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3.</w:t>
      </w:r>
      <w:r>
        <w:rPr>
          <w:rFonts w:hint="eastAsia" w:ascii="黑体" w:hAnsi="黑体" w:eastAsia="黑体"/>
          <w:color w:val="000000" w:themeColor="text1"/>
          <w:highlight w:val="none"/>
          <w:lang w:val="en-US" w:eastAsia="zh-CN"/>
          <w14:textFill>
            <w14:solidFill>
              <w14:schemeClr w14:val="tx1"/>
            </w14:solidFill>
          </w14:textFill>
        </w:rPr>
        <w:t>6</w:t>
      </w:r>
    </w:p>
    <w:p>
      <w:pPr>
        <w:pStyle w:val="123"/>
        <w:spacing w:line="288" w:lineRule="auto"/>
        <w:ind w:firstLine="420" w:firstLineChars="200"/>
        <w:rPr>
          <w:rFonts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lang w:val="en-US" w:eastAsia="zh-CN"/>
          <w14:textFill>
            <w14:solidFill>
              <w14:schemeClr w14:val="tx1"/>
            </w14:solidFill>
          </w14:textFill>
        </w:rPr>
        <w:t>更新评估 renewal assessment</w:t>
      </w:r>
    </w:p>
    <w:p>
      <w:pPr>
        <w:pStyle w:val="123"/>
        <w:spacing w:line="288" w:lineRule="auto"/>
        <w:rPr>
          <w:rFonts w:hint="eastAsia" w:eastAsia="宋体"/>
          <w:strike/>
          <w:dstrike w:val="0"/>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通过</w:t>
      </w:r>
      <w:r>
        <w:rPr>
          <w:rFonts w:hint="eastAsia"/>
          <w:strike w:val="0"/>
          <w:dstrike w:val="0"/>
          <w:color w:val="000000" w:themeColor="text1"/>
          <w:szCs w:val="22"/>
          <w:highlight w:val="none"/>
          <w:lang w:val="en-US" w:eastAsia="zh-CN"/>
          <w14:textFill>
            <w14:solidFill>
              <w14:schemeClr w14:val="tx1"/>
            </w14:solidFill>
          </w14:textFill>
        </w:rPr>
        <w:t>资料评价、安全评价、节能评价、环保评价</w:t>
      </w:r>
      <w:r>
        <w:rPr>
          <w:rFonts w:hint="eastAsia"/>
          <w:color w:val="000000" w:themeColor="text1"/>
          <w:highlight w:val="none"/>
          <w:lang w:val="en-US" w:eastAsia="zh-CN"/>
          <w14:textFill>
            <w14:solidFill>
              <w14:schemeClr w14:val="tx1"/>
            </w14:solidFill>
          </w14:textFill>
        </w:rPr>
        <w:t>及寿命评价的结果，对锅炉系统是否符合现行安全技术规范及标准进行评判，并出具评估报告的活动。</w:t>
      </w:r>
    </w:p>
    <w:p>
      <w:pPr>
        <w:pStyle w:val="123"/>
        <w:spacing w:line="288" w:lineRule="auto"/>
        <w:ind w:firstLine="0" w:firstLineChars="0"/>
        <w:rPr>
          <w:rFonts w:hint="eastAsia" w:ascii="黑体" w:hAnsi="黑体" w:eastAsia="黑体"/>
          <w:color w:val="000000" w:themeColor="text1"/>
          <w:highlight w:val="none"/>
          <w:lang w:val="en-US" w:eastAsia="zh-CN"/>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3.</w:t>
      </w:r>
      <w:r>
        <w:rPr>
          <w:rFonts w:hint="eastAsia" w:ascii="黑体" w:hAnsi="黑体" w:eastAsia="黑体"/>
          <w:color w:val="000000" w:themeColor="text1"/>
          <w:highlight w:val="none"/>
          <w:lang w:val="en-US" w:eastAsia="zh-CN"/>
          <w14:textFill>
            <w14:solidFill>
              <w14:schemeClr w14:val="tx1"/>
            </w14:solidFill>
          </w14:textFill>
        </w:rPr>
        <w:t>7</w:t>
      </w:r>
    </w:p>
    <w:p>
      <w:pPr>
        <w:pStyle w:val="123"/>
        <w:spacing w:line="288" w:lineRule="auto"/>
        <w:ind w:firstLine="420" w:firstLineChars="200"/>
        <w:rPr>
          <w:rFonts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lang w:val="en-US" w:eastAsia="zh-CN"/>
          <w14:textFill>
            <w14:solidFill>
              <w14:schemeClr w14:val="tx1"/>
            </w14:solidFill>
          </w14:textFill>
        </w:rPr>
        <w:t>更新评级</w:t>
      </w:r>
      <w:r>
        <w:rPr>
          <w:rFonts w:hint="eastAsia" w:ascii="黑体" w:hAnsi="黑体" w:eastAsia="黑体"/>
          <w:color w:val="000000" w:themeColor="text1"/>
          <w:highlight w:val="none"/>
          <w14:textFill>
            <w14:solidFill>
              <w14:schemeClr w14:val="tx1"/>
            </w14:solidFill>
          </w14:textFill>
        </w:rPr>
        <w:t xml:space="preserve"> </w:t>
      </w:r>
      <w:r>
        <w:rPr>
          <w:rFonts w:hint="eastAsia" w:ascii="黑体" w:hAnsi="黑体" w:eastAsia="黑体"/>
          <w:color w:val="000000" w:themeColor="text1"/>
          <w:highlight w:val="none"/>
          <w:lang w:val="en-US" w:eastAsia="zh-CN"/>
          <w14:textFill>
            <w14:solidFill>
              <w14:schemeClr w14:val="tx1"/>
            </w14:solidFill>
          </w14:textFill>
        </w:rPr>
        <w:t>renewal level</w:t>
      </w:r>
    </w:p>
    <w:p>
      <w:pPr>
        <w:pStyle w:val="123"/>
        <w:keepNext w:val="0"/>
        <w:keepLines w:val="0"/>
        <w:pageBreakBefore w:val="0"/>
        <w:widowControl/>
        <w:kinsoku/>
        <w:wordWrap/>
        <w:overflowPunct/>
        <w:topLinePunct w:val="0"/>
        <w:autoSpaceDE w:val="0"/>
        <w:autoSpaceDN w:val="0"/>
        <w:bidi w:val="0"/>
        <w:adjustRightInd/>
        <w:snapToGrid/>
        <w:spacing w:line="288"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通</w:t>
      </w:r>
      <w:r>
        <w:rPr>
          <w:rFonts w:hint="eastAsia"/>
          <w:color w:val="auto"/>
          <w:highlight w:val="none"/>
          <w:lang w:val="en-US" w:eastAsia="zh-CN"/>
        </w:rPr>
        <w:t>过更新评估确定锅炉系统更新等级的活动，更新等级包括维保、修理、改造、换新</w:t>
      </w:r>
      <w:r>
        <w:rPr>
          <w:rFonts w:hint="eastAsia"/>
          <w:color w:val="000000" w:themeColor="text1"/>
          <w:highlight w:val="none"/>
          <w:lang w:val="en-US" w:eastAsia="zh-CN"/>
          <w14:textFill>
            <w14:solidFill>
              <w14:schemeClr w14:val="tx1"/>
            </w14:solidFill>
          </w14:textFill>
        </w:rPr>
        <w:t>。</w:t>
      </w:r>
    </w:p>
    <w:p>
      <w:pPr>
        <w:pStyle w:val="107"/>
        <w:spacing w:before="240" w:after="240"/>
        <w:rPr>
          <w:rFonts w:hint="eastAsia"/>
          <w:strike w:val="0"/>
          <w:dstrike w:val="0"/>
          <w:color w:val="000000" w:themeColor="text1"/>
          <w:szCs w:val="22"/>
          <w:highlight w:val="none"/>
          <w:lang w:val="en-US" w:eastAsia="zh-CN"/>
          <w14:textFill>
            <w14:solidFill>
              <w14:schemeClr w14:val="tx1"/>
            </w14:solidFill>
          </w14:textFill>
        </w:rPr>
      </w:pPr>
      <w:bookmarkStart w:id="47" w:name="_Toc17265"/>
      <w:r>
        <w:rPr>
          <w:rFonts w:hint="eastAsia"/>
          <w:color w:val="000000" w:themeColor="text1"/>
          <w:highlight w:val="none"/>
          <w:lang w:eastAsia="zh-CN"/>
          <w14:textFill>
            <w14:solidFill>
              <w14:schemeClr w14:val="tx1"/>
            </w14:solidFill>
          </w14:textFill>
        </w:rPr>
        <w:t>基本要求</w:t>
      </w:r>
      <w:bookmarkEnd w:id="47"/>
    </w:p>
    <w:p>
      <w:pPr>
        <w:pStyle w:val="59"/>
        <w:keepNext w:val="0"/>
        <w:keepLines w:val="0"/>
        <w:pageBreakBefore w:val="0"/>
        <w:widowControl/>
        <w:kinsoku/>
        <w:wordWrap/>
        <w:overflowPunct/>
        <w:topLinePunct w:val="0"/>
        <w:autoSpaceDE w:val="0"/>
        <w:autoSpaceDN w:val="0"/>
        <w:bidi w:val="0"/>
        <w:adjustRightInd/>
        <w:snapToGrid/>
        <w:spacing w:line="288" w:lineRule="auto"/>
        <w:ind w:left="0" w:leftChars="0" w:right="0" w:rightChars="0" w:firstLine="0" w:firstLineChars="0"/>
        <w:jc w:val="both"/>
        <w:textAlignment w:val="auto"/>
        <w:outlineLvl w:val="9"/>
        <w:rPr>
          <w:rFonts w:hint="eastAsia"/>
          <w:color w:val="000000" w:themeColor="text1"/>
          <w:szCs w:val="22"/>
          <w:highlight w:val="none"/>
          <w:lang w:val="en-US" w:eastAsia="zh-CN"/>
          <w14:textFill>
            <w14:solidFill>
              <w14:schemeClr w14:val="tx1"/>
            </w14:solidFill>
          </w14:textFill>
        </w:rPr>
      </w:pPr>
      <w:r>
        <w:rPr>
          <w:rFonts w:hint="eastAsia"/>
          <w:color w:val="000000" w:themeColor="text1"/>
          <w:szCs w:val="22"/>
          <w:highlight w:val="none"/>
          <w:lang w:val="en-US" w:eastAsia="zh-CN"/>
          <w14:textFill>
            <w14:solidFill>
              <w14:schemeClr w14:val="tx1"/>
            </w14:solidFill>
          </w14:textFill>
        </w:rPr>
        <w:t>4.1 更新评估的评估机构、评估人员和评估流程应符合DB50/T 1699.1的要求。</w:t>
      </w:r>
    </w:p>
    <w:p>
      <w:pPr>
        <w:pStyle w:val="59"/>
        <w:keepNext w:val="0"/>
        <w:keepLines w:val="0"/>
        <w:pageBreakBefore w:val="0"/>
        <w:widowControl/>
        <w:kinsoku/>
        <w:wordWrap/>
        <w:overflowPunct/>
        <w:topLinePunct w:val="0"/>
        <w:autoSpaceDE w:val="0"/>
        <w:autoSpaceDN w:val="0"/>
        <w:bidi w:val="0"/>
        <w:adjustRightInd/>
        <w:snapToGrid/>
        <w:spacing w:line="288" w:lineRule="auto"/>
        <w:ind w:left="0" w:leftChars="0" w:right="0" w:rightChars="0" w:firstLine="0" w:firstLineChars="0"/>
        <w:jc w:val="both"/>
        <w:textAlignment w:val="auto"/>
        <w:outlineLvl w:val="9"/>
        <w:rPr>
          <w:rFonts w:hint="eastAsia"/>
          <w:color w:val="000000" w:themeColor="text1"/>
          <w:szCs w:val="22"/>
          <w:highlight w:val="none"/>
          <w:lang w:val="en-US" w:eastAsia="zh-CN"/>
          <w14:textFill>
            <w14:solidFill>
              <w14:schemeClr w14:val="tx1"/>
            </w14:solidFill>
          </w14:textFill>
        </w:rPr>
      </w:pPr>
      <w:r>
        <w:rPr>
          <w:rFonts w:hint="eastAsia"/>
          <w:color w:val="000000" w:themeColor="text1"/>
          <w:szCs w:val="22"/>
          <w:highlight w:val="none"/>
          <w:lang w:val="en-US" w:eastAsia="zh-CN"/>
          <w14:textFill>
            <w14:solidFill>
              <w14:schemeClr w14:val="tx1"/>
            </w14:solidFill>
          </w14:textFill>
        </w:rPr>
        <w:t>4.2 锅炉更新评估中的环保评价可由评估机构进行，也可由取得相应实验室资质认定的第三方检测机构进行，相应的评估和检测机构应对所提供的环保评价结果负责。</w:t>
      </w:r>
    </w:p>
    <w:p>
      <w:pPr>
        <w:pStyle w:val="59"/>
        <w:keepNext w:val="0"/>
        <w:keepLines w:val="0"/>
        <w:pageBreakBefore w:val="0"/>
        <w:widowControl/>
        <w:kinsoku/>
        <w:wordWrap/>
        <w:overflowPunct/>
        <w:topLinePunct w:val="0"/>
        <w:autoSpaceDE w:val="0"/>
        <w:autoSpaceDN w:val="0"/>
        <w:bidi w:val="0"/>
        <w:adjustRightInd/>
        <w:snapToGrid/>
        <w:spacing w:line="288" w:lineRule="auto"/>
        <w:ind w:left="0" w:leftChars="0" w:right="0" w:rightChars="0" w:firstLine="0" w:firstLineChars="0"/>
        <w:jc w:val="both"/>
        <w:textAlignment w:val="auto"/>
        <w:outlineLvl w:val="9"/>
        <w:rPr>
          <w:rFonts w:hint="eastAsia"/>
          <w:color w:val="000000" w:themeColor="text1"/>
          <w:szCs w:val="22"/>
          <w:highlight w:val="none"/>
          <w:lang w:val="en-US" w:eastAsia="zh-CN"/>
          <w14:textFill>
            <w14:solidFill>
              <w14:schemeClr w14:val="tx1"/>
            </w14:solidFill>
          </w14:textFill>
        </w:rPr>
      </w:pPr>
      <w:r>
        <w:rPr>
          <w:rFonts w:hint="eastAsia"/>
          <w:color w:val="000000" w:themeColor="text1"/>
          <w:szCs w:val="22"/>
          <w:highlight w:val="none"/>
          <w:lang w:val="en-US" w:eastAsia="zh-CN"/>
          <w14:textFill>
            <w14:solidFill>
              <w14:schemeClr w14:val="tx1"/>
            </w14:solidFill>
          </w14:textFill>
        </w:rPr>
        <w:t>4.3 锅炉更新评估除应符合本文件外，尚应符合现行有关规定。</w:t>
      </w:r>
    </w:p>
    <w:p>
      <w:pPr>
        <w:pStyle w:val="107"/>
        <w:spacing w:before="240" w:after="240"/>
        <w:rPr>
          <w:rFonts w:hint="eastAsia"/>
          <w:color w:val="000000" w:themeColor="text1"/>
          <w:szCs w:val="22"/>
          <w:highlight w:val="none"/>
          <w:lang w:val="en-US" w:eastAsia="zh-CN"/>
          <w14:textFill>
            <w14:solidFill>
              <w14:schemeClr w14:val="tx1"/>
            </w14:solidFill>
          </w14:textFill>
        </w:rPr>
      </w:pPr>
      <w:bookmarkStart w:id="48" w:name="_Toc29003"/>
      <w:r>
        <w:rPr>
          <w:rFonts w:hint="eastAsia"/>
          <w:color w:val="000000" w:themeColor="text1"/>
          <w:szCs w:val="22"/>
          <w:highlight w:val="none"/>
          <w:lang w:val="en-US" w:eastAsia="zh-CN"/>
          <w14:textFill>
            <w14:solidFill>
              <w14:schemeClr w14:val="tx1"/>
            </w14:solidFill>
          </w14:textFill>
        </w:rPr>
        <w:t>评估项目</w:t>
      </w:r>
      <w:bookmarkEnd w:id="48"/>
    </w:p>
    <w:p>
      <w:pPr>
        <w:pStyle w:val="59"/>
        <w:spacing w:line="288" w:lineRule="auto"/>
        <w:ind w:firstLine="0" w:firstLineChars="0"/>
        <w:rPr>
          <w:rFonts w:hint="eastAsia" w:ascii="黑体" w:eastAsia="黑体"/>
          <w:color w:val="auto"/>
          <w:szCs w:val="22"/>
          <w:highlight w:val="none"/>
          <w:lang w:val="en-US" w:eastAsia="zh-CN"/>
        </w:rPr>
      </w:pPr>
      <w:r>
        <w:rPr>
          <w:rFonts w:hint="eastAsia" w:ascii="黑体" w:eastAsia="黑体"/>
          <w:color w:val="auto"/>
          <w:szCs w:val="22"/>
          <w:highlight w:val="none"/>
          <w:lang w:val="en-US" w:eastAsia="zh-CN"/>
        </w:rPr>
        <w:t>5.1 资料评价</w:t>
      </w:r>
    </w:p>
    <w:p>
      <w:pPr>
        <w:pStyle w:val="123"/>
        <w:spacing w:line="288" w:lineRule="auto"/>
        <w:ind w:firstLine="420" w:firstLineChars="200"/>
        <w:rPr>
          <w:rFonts w:hint="eastAsia" w:cs="Times New Roman"/>
          <w:color w:val="auto"/>
          <w:szCs w:val="22"/>
          <w:highlight w:val="none"/>
          <w:lang w:val="en-US" w:eastAsia="zh-CN"/>
        </w:rPr>
      </w:pPr>
      <w:r>
        <w:rPr>
          <w:rFonts w:hint="eastAsia" w:ascii="宋体" w:eastAsia="宋体" w:cs="Times New Roman"/>
          <w:color w:val="auto"/>
          <w:szCs w:val="22"/>
          <w:highlight w:val="none"/>
          <w:lang w:val="en-US" w:eastAsia="zh-CN"/>
        </w:rPr>
        <w:t>通过对锅炉</w:t>
      </w:r>
      <w:r>
        <w:rPr>
          <w:rFonts w:hint="eastAsia" w:cs="Times New Roman"/>
          <w:color w:val="auto"/>
          <w:szCs w:val="22"/>
          <w:highlight w:val="none"/>
          <w:lang w:val="en-US" w:eastAsia="zh-CN"/>
        </w:rPr>
        <w:t>制造、安装、修理、改造及检验等</w:t>
      </w:r>
      <w:r>
        <w:rPr>
          <w:rFonts w:hint="eastAsia" w:cs="Times New Roman"/>
          <w:strike w:val="0"/>
          <w:dstrike w:val="0"/>
          <w:color w:val="auto"/>
          <w:szCs w:val="22"/>
          <w:highlight w:val="none"/>
          <w:lang w:val="en-US" w:eastAsia="zh-CN"/>
        </w:rPr>
        <w:t>技术文件</w:t>
      </w:r>
      <w:r>
        <w:rPr>
          <w:rFonts w:hint="eastAsia" w:ascii="宋体" w:eastAsia="宋体" w:cs="Times New Roman"/>
          <w:color w:val="auto"/>
          <w:szCs w:val="22"/>
          <w:highlight w:val="none"/>
          <w:lang w:val="en-US" w:eastAsia="zh-CN"/>
        </w:rPr>
        <w:t>资料</w:t>
      </w:r>
      <w:r>
        <w:rPr>
          <w:rFonts w:hint="eastAsia" w:cs="Times New Roman"/>
          <w:color w:val="auto"/>
          <w:szCs w:val="22"/>
          <w:highlight w:val="none"/>
          <w:lang w:val="en-US" w:eastAsia="zh-CN"/>
        </w:rPr>
        <w:t>进行审查，确定其与</w:t>
      </w:r>
      <w:r>
        <w:rPr>
          <w:rFonts w:hint="eastAsia" w:ascii="Times New Roman" w:cs="Times New Roman"/>
          <w:color w:val="auto"/>
          <w:kern w:val="2"/>
          <w:sz w:val="21"/>
          <w:szCs w:val="21"/>
          <w:lang w:val="en-US" w:eastAsia="zh-CN" w:bidi="ar"/>
        </w:rPr>
        <w:t>政策性文件</w:t>
      </w:r>
      <w:r>
        <w:rPr>
          <w:rFonts w:hint="eastAsia" w:ascii="Times New Roman" w:hAnsi="Times New Roman" w:eastAsia="宋体" w:cs="Times New Roman"/>
          <w:color w:val="auto"/>
          <w:kern w:val="2"/>
          <w:sz w:val="21"/>
          <w:szCs w:val="21"/>
          <w:lang w:val="en-US" w:eastAsia="zh-CN" w:bidi="ar"/>
        </w:rPr>
        <w:t>的</w:t>
      </w:r>
      <w:r>
        <w:rPr>
          <w:rFonts w:hint="eastAsia" w:ascii="Times New Roman" w:hAnsi="Times New Roman" w:cs="Times New Roman"/>
          <w:color w:val="auto"/>
          <w:kern w:val="2"/>
          <w:sz w:val="21"/>
          <w:szCs w:val="21"/>
          <w:lang w:val="en-US" w:eastAsia="zh-CN" w:bidi="ar"/>
        </w:rPr>
        <w:t>符合性</w:t>
      </w:r>
      <w:r>
        <w:rPr>
          <w:rFonts w:hint="eastAsia" w:cs="Times New Roman"/>
          <w:color w:val="auto"/>
          <w:szCs w:val="22"/>
          <w:highlight w:val="none"/>
          <w:lang w:val="en-US" w:eastAsia="zh-CN"/>
        </w:rPr>
        <w:t>。</w:t>
      </w:r>
    </w:p>
    <w:p>
      <w:pPr>
        <w:pStyle w:val="59"/>
        <w:spacing w:line="288" w:lineRule="auto"/>
        <w:ind w:firstLine="0" w:firstLineChars="0"/>
        <w:rPr>
          <w:rFonts w:hint="eastAsia" w:ascii="黑体" w:eastAsia="黑体"/>
          <w:color w:val="auto"/>
          <w:szCs w:val="22"/>
          <w:highlight w:val="none"/>
          <w:lang w:val="en-US" w:eastAsia="zh-CN"/>
        </w:rPr>
      </w:pPr>
      <w:r>
        <w:rPr>
          <w:rFonts w:hint="eastAsia" w:ascii="黑体" w:eastAsia="黑体"/>
          <w:color w:val="auto"/>
          <w:szCs w:val="22"/>
          <w:highlight w:val="none"/>
          <w:lang w:val="en-US" w:eastAsia="zh-CN"/>
        </w:rPr>
        <w:t>5.2 安全评价</w:t>
      </w:r>
    </w:p>
    <w:p>
      <w:pPr>
        <w:pStyle w:val="123"/>
        <w:spacing w:line="288" w:lineRule="auto"/>
        <w:ind w:firstLine="420" w:firstLineChars="200"/>
        <w:rPr>
          <w:rFonts w:hint="eastAsia" w:ascii="宋体" w:eastAsia="宋体" w:cs="Times New Roman"/>
          <w:color w:val="000000" w:themeColor="text1"/>
          <w:szCs w:val="22"/>
          <w:highlight w:val="none"/>
          <w:lang w:val="en-US" w:eastAsia="zh-CN"/>
          <w14:textFill>
            <w14:solidFill>
              <w14:schemeClr w14:val="tx1"/>
            </w14:solidFill>
          </w14:textFill>
        </w:rPr>
      </w:pPr>
      <w:r>
        <w:rPr>
          <w:rFonts w:hint="eastAsia" w:ascii="宋体" w:eastAsia="宋体" w:cs="Times New Roman"/>
          <w:color w:val="000000" w:themeColor="text1"/>
          <w:szCs w:val="22"/>
          <w:highlight w:val="none"/>
          <w:lang w:val="en-US" w:eastAsia="zh-CN"/>
          <w14:textFill>
            <w14:solidFill>
              <w14:schemeClr w14:val="tx1"/>
            </w14:solidFill>
          </w14:textFill>
        </w:rPr>
        <w:t>通过检验检测等手段对锅炉的安全运行状态进行评价</w:t>
      </w:r>
      <w:r>
        <w:rPr>
          <w:rFonts w:hint="eastAsia" w:cs="Times New Roman"/>
          <w:color w:val="000000" w:themeColor="text1"/>
          <w:szCs w:val="22"/>
          <w:highlight w:val="none"/>
          <w:lang w:val="en-US" w:eastAsia="zh-CN"/>
          <w14:textFill>
            <w14:solidFill>
              <w14:schemeClr w14:val="tx1"/>
            </w14:solidFill>
          </w14:textFill>
        </w:rPr>
        <w:t>，确定</w:t>
      </w:r>
      <w:r>
        <w:rPr>
          <w:rFonts w:hint="eastAsia" w:cs="Times New Roman"/>
          <w:color w:val="auto"/>
          <w:szCs w:val="22"/>
          <w:highlight w:val="none"/>
          <w:lang w:val="en-US" w:eastAsia="zh-CN"/>
        </w:rPr>
        <w:t>其与</w:t>
      </w:r>
      <w:r>
        <w:rPr>
          <w:rFonts w:hint="eastAsia" w:ascii="Times New Roman" w:hAnsi="Times New Roman" w:eastAsia="宋体" w:cs="Times New Roman"/>
          <w:color w:val="auto"/>
          <w:kern w:val="2"/>
          <w:sz w:val="21"/>
          <w:szCs w:val="21"/>
          <w:lang w:val="en-US" w:eastAsia="zh-CN" w:bidi="ar"/>
        </w:rPr>
        <w:t>TSG 11</w:t>
      </w:r>
      <w:r>
        <w:rPr>
          <w:rFonts w:hint="eastAsia" w:ascii="Times New Roman" w:hAnsi="Times New Roman" w:cs="Times New Roman"/>
          <w:color w:val="auto"/>
          <w:kern w:val="2"/>
          <w:sz w:val="21"/>
          <w:szCs w:val="21"/>
          <w:lang w:val="en-US" w:eastAsia="zh-CN" w:bidi="ar"/>
        </w:rPr>
        <w:t>和</w:t>
      </w:r>
      <w:r>
        <w:rPr>
          <w:rFonts w:hint="eastAsia" w:ascii="Times New Roman" w:cs="Times New Roman"/>
          <w:color w:val="auto"/>
          <w:kern w:val="2"/>
          <w:sz w:val="21"/>
          <w:szCs w:val="21"/>
          <w:lang w:val="en-US" w:eastAsia="zh-CN" w:bidi="ar"/>
        </w:rPr>
        <w:t>GB/T 42535等法规标准</w:t>
      </w:r>
      <w:r>
        <w:rPr>
          <w:rFonts w:hint="eastAsia" w:ascii="Times New Roman" w:hAnsi="Times New Roman" w:eastAsia="宋体" w:cs="Times New Roman"/>
          <w:color w:val="auto"/>
          <w:kern w:val="2"/>
          <w:sz w:val="21"/>
          <w:szCs w:val="21"/>
          <w:lang w:val="en-US" w:eastAsia="zh-CN" w:bidi="ar"/>
        </w:rPr>
        <w:t>的</w:t>
      </w:r>
      <w:r>
        <w:rPr>
          <w:rFonts w:hint="eastAsia" w:ascii="Times New Roman" w:hAnsi="Times New Roman" w:cs="Times New Roman"/>
          <w:color w:val="auto"/>
          <w:kern w:val="2"/>
          <w:sz w:val="21"/>
          <w:szCs w:val="21"/>
          <w:lang w:val="en-US" w:eastAsia="zh-CN" w:bidi="ar"/>
        </w:rPr>
        <w:t>合规性。</w:t>
      </w:r>
    </w:p>
    <w:p>
      <w:pPr>
        <w:pStyle w:val="59"/>
        <w:ind w:left="0" w:leftChars="0" w:firstLine="0" w:firstLineChars="0"/>
        <w:rPr>
          <w:rFonts w:hint="eastAsia"/>
          <w:color w:val="auto"/>
          <w:szCs w:val="22"/>
          <w:highlight w:val="none"/>
          <w:lang w:val="en-US" w:eastAsia="zh-CN"/>
        </w:rPr>
      </w:pPr>
      <w:r>
        <w:rPr>
          <w:rFonts w:hint="eastAsia" w:ascii="黑体" w:eastAsia="黑体"/>
          <w:color w:val="auto"/>
          <w:szCs w:val="22"/>
          <w:highlight w:val="none"/>
          <w:lang w:val="en-US" w:eastAsia="zh-CN"/>
        </w:rPr>
        <w:t xml:space="preserve">5.3 </w:t>
      </w:r>
      <w:r>
        <w:rPr>
          <w:rFonts w:hint="eastAsia" w:ascii="黑体" w:hAnsi="黑体" w:eastAsia="黑体"/>
          <w:color w:val="auto"/>
          <w:szCs w:val="22"/>
          <w:highlight w:val="none"/>
          <w:lang w:val="en-US" w:eastAsia="zh-CN"/>
        </w:rPr>
        <w:t>寿命评价</w:t>
      </w:r>
    </w:p>
    <w:p>
      <w:pPr>
        <w:pStyle w:val="123"/>
        <w:spacing w:line="288" w:lineRule="auto"/>
        <w:rPr>
          <w:rFonts w:hint="eastAsia"/>
          <w:color w:val="auto"/>
          <w:szCs w:val="22"/>
          <w:highlight w:val="none"/>
          <w:lang w:val="en-US" w:eastAsia="zh-CN"/>
        </w:rPr>
      </w:pPr>
      <w:r>
        <w:rPr>
          <w:rFonts w:hint="eastAsia" w:ascii="宋体" w:eastAsia="宋体" w:cs="Times New Roman"/>
          <w:color w:val="000000" w:themeColor="text1"/>
          <w:szCs w:val="22"/>
          <w:highlight w:val="none"/>
          <w:lang w:val="en-US" w:eastAsia="zh-CN"/>
          <w14:textFill>
            <w14:solidFill>
              <w14:schemeClr w14:val="tx1"/>
            </w14:solidFill>
          </w14:textFill>
        </w:rPr>
        <w:t>通过检验检测</w:t>
      </w:r>
      <w:r>
        <w:rPr>
          <w:rFonts w:hint="eastAsia" w:cs="Times New Roman"/>
          <w:color w:val="000000" w:themeColor="text1"/>
          <w:szCs w:val="22"/>
          <w:highlight w:val="none"/>
          <w:lang w:val="en-US" w:eastAsia="zh-CN"/>
          <w14:textFill>
            <w14:solidFill>
              <w14:schemeClr w14:val="tx1"/>
            </w14:solidFill>
          </w14:textFill>
        </w:rPr>
        <w:t>及</w:t>
      </w:r>
      <w:r>
        <w:rPr>
          <w:rFonts w:hint="eastAsia"/>
          <w:color w:val="auto"/>
          <w:szCs w:val="22"/>
          <w:highlight w:val="none"/>
          <w:lang w:val="en-US" w:eastAsia="zh-CN"/>
        </w:rPr>
        <w:t>强度计算</w:t>
      </w:r>
      <w:r>
        <w:rPr>
          <w:rFonts w:hint="eastAsia" w:ascii="宋体" w:eastAsia="宋体" w:cs="Times New Roman"/>
          <w:color w:val="000000" w:themeColor="text1"/>
          <w:szCs w:val="22"/>
          <w:highlight w:val="none"/>
          <w:lang w:val="en-US" w:eastAsia="zh-CN"/>
          <w14:textFill>
            <w14:solidFill>
              <w14:schemeClr w14:val="tx1"/>
            </w14:solidFill>
          </w14:textFill>
        </w:rPr>
        <w:t>等手段</w:t>
      </w:r>
      <w:r>
        <w:rPr>
          <w:rFonts w:hint="eastAsia" w:cs="Times New Roman"/>
          <w:color w:val="000000" w:themeColor="text1"/>
          <w:szCs w:val="22"/>
          <w:highlight w:val="none"/>
          <w:lang w:val="en-US" w:eastAsia="zh-CN"/>
          <w14:textFill>
            <w14:solidFill>
              <w14:schemeClr w14:val="tx1"/>
            </w14:solidFill>
          </w14:textFill>
        </w:rPr>
        <w:t>对</w:t>
      </w:r>
      <w:r>
        <w:rPr>
          <w:rFonts w:hint="eastAsia"/>
          <w:color w:val="auto"/>
          <w:szCs w:val="22"/>
          <w:highlight w:val="none"/>
          <w:lang w:val="en-US" w:eastAsia="zh-CN"/>
        </w:rPr>
        <w:t>锅炉的寿命进行评价，</w:t>
      </w:r>
      <w:r>
        <w:rPr>
          <w:rFonts w:hint="eastAsia" w:cs="Times New Roman"/>
          <w:color w:val="auto"/>
          <w:szCs w:val="22"/>
          <w:highlight w:val="none"/>
          <w:lang w:val="en-US" w:eastAsia="zh-CN"/>
        </w:rPr>
        <w:t>确定其是否满足</w:t>
      </w:r>
      <w:r>
        <w:rPr>
          <w:rFonts w:hint="eastAsia" w:ascii="Times New Roman" w:hAnsi="Times New Roman"/>
          <w:color w:val="auto"/>
          <w:kern w:val="2"/>
          <w:szCs w:val="21"/>
          <w:highlight w:val="none"/>
          <w:lang w:val="en-US" w:eastAsia="zh-CN" w:bidi="ar"/>
        </w:rPr>
        <w:t>GB/T 30580、</w:t>
      </w:r>
      <w:r>
        <w:rPr>
          <w:rFonts w:hint="eastAsia" w:ascii="Times New Roman" w:hAnsi="Times New Roman"/>
          <w:color w:val="auto"/>
          <w:kern w:val="2"/>
          <w:szCs w:val="21"/>
          <w:highlight w:val="none"/>
          <w:lang w:val="en-US" w:eastAsia="zh-CN" w:bidi="ar"/>
        </w:rPr>
        <w:fldChar w:fldCharType="begin"/>
      </w:r>
      <w:r>
        <w:rPr>
          <w:rFonts w:hint="eastAsia" w:ascii="Times New Roman" w:hAnsi="Times New Roman"/>
          <w:color w:val="auto"/>
          <w:kern w:val="2"/>
          <w:szCs w:val="21"/>
          <w:highlight w:val="none"/>
          <w:lang w:val="en-US" w:eastAsia="zh-CN" w:bidi="ar"/>
        </w:rPr>
        <w:instrText xml:space="preserve"> HYPERLINK "http://www.bzfxw.com/soft/sort027/bzjsw/422168.html" \o "GBT16507《水管锅炉》 、GBT&lt;font color='red'&gt;16508&lt;/font&gt;《锅壳锅炉》学习与交流" \t "http://www.bzfxw.com/so/result/_blank" </w:instrText>
      </w:r>
      <w:r>
        <w:rPr>
          <w:rFonts w:hint="eastAsia" w:ascii="Times New Roman" w:hAnsi="Times New Roman"/>
          <w:color w:val="auto"/>
          <w:kern w:val="2"/>
          <w:szCs w:val="21"/>
          <w:highlight w:val="none"/>
          <w:lang w:val="en-US" w:eastAsia="zh-CN" w:bidi="ar"/>
        </w:rPr>
        <w:fldChar w:fldCharType="separate"/>
      </w:r>
      <w:r>
        <w:rPr>
          <w:rFonts w:hint="eastAsia" w:ascii="Times New Roman" w:hAnsi="Times New Roman"/>
          <w:color w:val="auto"/>
          <w:kern w:val="2"/>
          <w:szCs w:val="21"/>
          <w:highlight w:val="none"/>
          <w:lang w:val="en-US" w:eastAsia="zh-CN" w:bidi="ar"/>
        </w:rPr>
        <w:t>GB/T 16507</w:t>
      </w:r>
      <w:r>
        <w:rPr>
          <w:rFonts w:hint="eastAsia" w:ascii="Times New Roman" w:hAnsi="Times New Roman"/>
          <w:color w:val="auto"/>
          <w:kern w:val="2"/>
          <w:szCs w:val="21"/>
          <w:highlight w:val="none"/>
          <w:lang w:val="en-US" w:eastAsia="zh-CN" w:bidi="ar"/>
        </w:rPr>
        <w:fldChar w:fldCharType="end"/>
      </w:r>
      <w:r>
        <w:rPr>
          <w:rFonts w:hint="eastAsia"/>
          <w:color w:val="auto"/>
          <w:szCs w:val="22"/>
          <w:highlight w:val="none"/>
          <w:lang w:val="en-US" w:eastAsia="zh-CN"/>
        </w:rPr>
        <w:t>和</w:t>
      </w:r>
      <w:r>
        <w:rPr>
          <w:rFonts w:hint="eastAsia" w:ascii="Times New Roman" w:hAnsi="Times New Roman"/>
          <w:color w:val="auto"/>
          <w:kern w:val="2"/>
          <w:szCs w:val="21"/>
          <w:highlight w:val="none"/>
          <w:lang w:val="en-US" w:eastAsia="zh-CN" w:bidi="ar"/>
        </w:rPr>
        <w:t>GB/T 16508</w:t>
      </w:r>
      <w:r>
        <w:rPr>
          <w:rFonts w:hint="eastAsia"/>
          <w:color w:val="auto"/>
          <w:szCs w:val="22"/>
          <w:highlight w:val="none"/>
          <w:lang w:val="en-US" w:eastAsia="zh-CN"/>
        </w:rPr>
        <w:t>等</w:t>
      </w:r>
      <w:r>
        <w:rPr>
          <w:rFonts w:hint="eastAsia" w:ascii="Times New Roman" w:cs="Times New Roman"/>
          <w:color w:val="auto"/>
          <w:kern w:val="2"/>
          <w:sz w:val="21"/>
          <w:szCs w:val="21"/>
          <w:lang w:val="en-US" w:eastAsia="zh-CN" w:bidi="ar"/>
        </w:rPr>
        <w:t>法规标准</w:t>
      </w:r>
      <w:r>
        <w:rPr>
          <w:rFonts w:hint="eastAsia"/>
          <w:color w:val="auto"/>
          <w:szCs w:val="22"/>
          <w:highlight w:val="none"/>
          <w:lang w:val="en-US" w:eastAsia="zh-CN"/>
        </w:rPr>
        <w:t>的要求。</w:t>
      </w:r>
    </w:p>
    <w:p>
      <w:pPr>
        <w:pStyle w:val="59"/>
        <w:spacing w:line="288" w:lineRule="auto"/>
        <w:ind w:firstLine="0" w:firstLineChars="0"/>
        <w:rPr>
          <w:rFonts w:hint="eastAsia" w:ascii="黑体" w:eastAsia="黑体"/>
          <w:color w:val="auto"/>
          <w:szCs w:val="22"/>
          <w:highlight w:val="none"/>
          <w:lang w:val="en-US" w:eastAsia="zh-CN"/>
        </w:rPr>
      </w:pPr>
      <w:r>
        <w:rPr>
          <w:rFonts w:hint="eastAsia" w:ascii="黑体" w:eastAsia="黑体"/>
          <w:color w:val="auto"/>
          <w:szCs w:val="22"/>
          <w:highlight w:val="none"/>
          <w:lang w:val="en-US" w:eastAsia="zh-CN"/>
        </w:rPr>
        <w:t>5.4 节能评价</w:t>
      </w:r>
    </w:p>
    <w:p>
      <w:pPr>
        <w:pStyle w:val="123"/>
        <w:spacing w:line="288" w:lineRule="auto"/>
        <w:ind w:firstLine="420" w:firstLineChars="200"/>
        <w:rPr>
          <w:rFonts w:hint="eastAsia" w:ascii="宋体" w:eastAsia="宋体" w:cs="Times New Roman"/>
          <w:color w:val="auto"/>
          <w:szCs w:val="22"/>
          <w:highlight w:val="none"/>
          <w:lang w:val="en-US" w:eastAsia="zh-CN"/>
        </w:rPr>
      </w:pPr>
      <w:r>
        <w:rPr>
          <w:rFonts w:hint="eastAsia" w:ascii="宋体" w:eastAsia="宋体" w:cs="Times New Roman"/>
          <w:color w:val="auto"/>
          <w:szCs w:val="22"/>
          <w:highlight w:val="none"/>
          <w:lang w:val="en-US" w:eastAsia="zh-CN"/>
        </w:rPr>
        <w:t>通过能效</w:t>
      </w:r>
      <w:r>
        <w:rPr>
          <w:rFonts w:hint="eastAsia" w:ascii="宋体" w:eastAsia="宋体" w:cs="Times New Roman"/>
          <w:color w:val="000000" w:themeColor="text1"/>
          <w:szCs w:val="22"/>
          <w:highlight w:val="none"/>
          <w:lang w:val="en-US" w:eastAsia="zh-CN"/>
          <w14:textFill>
            <w14:solidFill>
              <w14:schemeClr w14:val="tx1"/>
            </w14:solidFill>
          </w14:textFill>
        </w:rPr>
        <w:t>检测</w:t>
      </w:r>
      <w:r>
        <w:rPr>
          <w:rFonts w:hint="eastAsia" w:ascii="宋体" w:eastAsia="宋体" w:cs="Times New Roman"/>
          <w:color w:val="auto"/>
          <w:szCs w:val="22"/>
          <w:highlight w:val="none"/>
          <w:lang w:val="en-US" w:eastAsia="zh-CN"/>
        </w:rPr>
        <w:t>等手段对锅炉的经济运行状态进行评价</w:t>
      </w:r>
      <w:r>
        <w:rPr>
          <w:rFonts w:hint="eastAsia" w:cs="Times New Roman"/>
          <w:color w:val="auto"/>
          <w:szCs w:val="22"/>
          <w:highlight w:val="none"/>
          <w:lang w:val="en-US" w:eastAsia="zh-CN"/>
        </w:rPr>
        <w:t>，确定其与</w:t>
      </w:r>
      <w:r>
        <w:rPr>
          <w:rFonts w:hint="eastAsia" w:ascii="Times New Roman" w:hAnsi="Times New Roman" w:eastAsia="宋体" w:cs="Times New Roman"/>
          <w:color w:val="auto"/>
          <w:kern w:val="2"/>
          <w:sz w:val="21"/>
          <w:szCs w:val="21"/>
          <w:lang w:val="en-US" w:eastAsia="zh-CN" w:bidi="ar"/>
        </w:rPr>
        <w:t xml:space="preserve">TSG </w:t>
      </w:r>
      <w:r>
        <w:rPr>
          <w:rFonts w:hint="eastAsia" w:ascii="Times New Roman" w:hAnsi="Times New Roman" w:cs="Times New Roman"/>
          <w:color w:val="auto"/>
          <w:kern w:val="2"/>
          <w:sz w:val="21"/>
          <w:szCs w:val="21"/>
          <w:lang w:val="en-US" w:eastAsia="zh-CN" w:bidi="ar"/>
        </w:rPr>
        <w:t>91和</w:t>
      </w:r>
      <w:r>
        <w:rPr>
          <w:rFonts w:hint="eastAsia" w:ascii="Times New Roman" w:cs="Times New Roman"/>
          <w:color w:val="auto"/>
          <w:kern w:val="2"/>
          <w:sz w:val="21"/>
          <w:szCs w:val="21"/>
          <w:lang w:val="en-US" w:eastAsia="zh-CN" w:bidi="ar"/>
        </w:rPr>
        <w:t>GB 24500等法规标准</w:t>
      </w:r>
      <w:r>
        <w:rPr>
          <w:rFonts w:hint="eastAsia" w:ascii="Times New Roman" w:hAnsi="Times New Roman" w:eastAsia="宋体" w:cs="Times New Roman"/>
          <w:color w:val="auto"/>
          <w:kern w:val="2"/>
          <w:sz w:val="21"/>
          <w:szCs w:val="21"/>
          <w:lang w:val="en-US" w:eastAsia="zh-CN" w:bidi="ar"/>
        </w:rPr>
        <w:t>的</w:t>
      </w:r>
      <w:r>
        <w:rPr>
          <w:rFonts w:hint="eastAsia" w:ascii="Times New Roman" w:hAnsi="Times New Roman" w:cs="Times New Roman"/>
          <w:color w:val="auto"/>
          <w:kern w:val="2"/>
          <w:sz w:val="21"/>
          <w:szCs w:val="21"/>
          <w:lang w:val="en-US" w:eastAsia="zh-CN" w:bidi="ar"/>
        </w:rPr>
        <w:t>合规性。</w:t>
      </w:r>
    </w:p>
    <w:p>
      <w:pPr>
        <w:pStyle w:val="59"/>
        <w:spacing w:line="288" w:lineRule="auto"/>
        <w:ind w:firstLine="0" w:firstLineChars="0"/>
        <w:rPr>
          <w:rFonts w:hint="eastAsia" w:ascii="黑体" w:eastAsia="黑体"/>
          <w:color w:val="auto"/>
          <w:szCs w:val="22"/>
          <w:highlight w:val="none"/>
          <w:lang w:val="en-US" w:eastAsia="zh-CN"/>
        </w:rPr>
      </w:pPr>
      <w:r>
        <w:rPr>
          <w:rFonts w:hint="eastAsia" w:ascii="黑体" w:eastAsia="黑体"/>
          <w:color w:val="auto"/>
          <w:szCs w:val="22"/>
          <w:highlight w:val="none"/>
          <w:lang w:val="en-US" w:eastAsia="zh-CN"/>
        </w:rPr>
        <w:t>5.5 环保评价</w:t>
      </w:r>
    </w:p>
    <w:p>
      <w:pPr>
        <w:pStyle w:val="123"/>
        <w:spacing w:line="288" w:lineRule="auto"/>
        <w:ind w:left="210" w:leftChars="100" w:firstLine="210" w:firstLineChars="100"/>
        <w:rPr>
          <w:rFonts w:hint="eastAsia" w:ascii="宋体" w:eastAsia="宋体" w:cs="Times New Roman"/>
          <w:color w:val="000000" w:themeColor="text1"/>
          <w:szCs w:val="22"/>
          <w:highlight w:val="none"/>
          <w:lang w:val="en-US" w:eastAsia="zh-CN"/>
          <w14:textFill>
            <w14:solidFill>
              <w14:schemeClr w14:val="tx1"/>
            </w14:solidFill>
          </w14:textFill>
        </w:rPr>
      </w:pPr>
      <w:r>
        <w:rPr>
          <w:rFonts w:hint="eastAsia" w:ascii="宋体" w:eastAsia="宋体" w:cs="Times New Roman"/>
          <w:color w:val="000000" w:themeColor="text1"/>
          <w:szCs w:val="22"/>
          <w:highlight w:val="none"/>
          <w:lang w:val="en-US" w:eastAsia="zh-CN"/>
          <w14:textFill>
            <w14:solidFill>
              <w14:schemeClr w14:val="tx1"/>
            </w14:solidFill>
          </w14:textFill>
        </w:rPr>
        <w:t>通过环保检测等手段对锅炉的环保排放状态进行评价</w:t>
      </w:r>
      <w:r>
        <w:rPr>
          <w:rFonts w:hint="eastAsia" w:cs="Times New Roman"/>
          <w:color w:val="000000" w:themeColor="text1"/>
          <w:szCs w:val="22"/>
          <w:highlight w:val="none"/>
          <w:lang w:val="en-US" w:eastAsia="zh-CN"/>
          <w14:textFill>
            <w14:solidFill>
              <w14:schemeClr w14:val="tx1"/>
            </w14:solidFill>
          </w14:textFill>
        </w:rPr>
        <w:t>，</w:t>
      </w:r>
      <w:r>
        <w:rPr>
          <w:rFonts w:hint="eastAsia" w:cs="Times New Roman"/>
          <w:color w:val="auto"/>
          <w:szCs w:val="22"/>
          <w:highlight w:val="none"/>
          <w:lang w:val="en-US" w:eastAsia="zh-CN"/>
        </w:rPr>
        <w:t>确定其与</w:t>
      </w:r>
      <w:r>
        <w:rPr>
          <w:rFonts w:hint="eastAsia" w:ascii="Times New Roman" w:hAnsi="Times New Roman" w:eastAsia="宋体" w:cs="Times New Roman"/>
          <w:color w:val="auto"/>
          <w:kern w:val="2"/>
          <w:sz w:val="21"/>
          <w:szCs w:val="21"/>
          <w:lang w:val="en-US" w:eastAsia="zh-CN" w:bidi="ar"/>
        </w:rPr>
        <w:t xml:space="preserve">TSG </w:t>
      </w:r>
      <w:r>
        <w:rPr>
          <w:rFonts w:hint="eastAsia" w:ascii="Times New Roman" w:hAnsi="Times New Roman" w:cs="Times New Roman"/>
          <w:color w:val="auto"/>
          <w:kern w:val="2"/>
          <w:sz w:val="21"/>
          <w:szCs w:val="21"/>
          <w:lang w:val="en-US" w:eastAsia="zh-CN" w:bidi="ar"/>
        </w:rPr>
        <w:t>11、</w:t>
      </w:r>
      <w:r>
        <w:rPr>
          <w:rFonts w:hint="eastAsia" w:ascii="Times New Roman" w:hAnsi="Times New Roman" w:eastAsia="宋体" w:cs="Times New Roman"/>
          <w:color w:val="auto"/>
          <w:kern w:val="2"/>
          <w:sz w:val="21"/>
          <w:szCs w:val="21"/>
          <w:lang w:val="en-US" w:eastAsia="zh-CN" w:bidi="ar"/>
        </w:rPr>
        <w:t xml:space="preserve">GB </w:t>
      </w:r>
      <w:r>
        <w:rPr>
          <w:rFonts w:hint="default" w:ascii="Times New Roman" w:hAnsi="Times New Roman" w:eastAsia="宋体" w:cs="Times New Roman"/>
          <w:color w:val="auto"/>
          <w:kern w:val="2"/>
          <w:sz w:val="21"/>
          <w:szCs w:val="21"/>
          <w:lang w:val="en-US" w:eastAsia="zh-CN" w:bidi="ar"/>
        </w:rPr>
        <w:t>13271</w:t>
      </w:r>
      <w:r>
        <w:rPr>
          <w:rFonts w:hint="eastAsia" w:ascii="Times New Roman" w:hAnsi="Times New Roman" w:cs="Times New Roman"/>
          <w:color w:val="auto"/>
          <w:kern w:val="2"/>
          <w:sz w:val="21"/>
          <w:szCs w:val="21"/>
          <w:lang w:val="en-US" w:eastAsia="zh-CN" w:bidi="ar"/>
        </w:rPr>
        <w:t>、GB 13223、GB 18485和DB 50/658</w:t>
      </w:r>
      <w:r>
        <w:rPr>
          <w:rFonts w:hint="eastAsia" w:ascii="Times New Roman" w:cs="Times New Roman"/>
          <w:color w:val="auto"/>
          <w:kern w:val="2"/>
          <w:sz w:val="21"/>
          <w:szCs w:val="21"/>
          <w:lang w:val="en-US" w:eastAsia="zh-CN" w:bidi="ar"/>
        </w:rPr>
        <w:t>等法规标准</w:t>
      </w:r>
      <w:r>
        <w:rPr>
          <w:rFonts w:hint="eastAsia" w:ascii="Times New Roman" w:hAnsi="Times New Roman" w:eastAsia="宋体" w:cs="Times New Roman"/>
          <w:color w:val="auto"/>
          <w:kern w:val="2"/>
          <w:sz w:val="21"/>
          <w:szCs w:val="21"/>
          <w:lang w:val="en-US" w:eastAsia="zh-CN" w:bidi="ar"/>
        </w:rPr>
        <w:t>的</w:t>
      </w:r>
      <w:r>
        <w:rPr>
          <w:rFonts w:hint="eastAsia" w:ascii="Times New Roman" w:hAnsi="Times New Roman" w:cs="Times New Roman"/>
          <w:color w:val="auto"/>
          <w:kern w:val="2"/>
          <w:sz w:val="21"/>
          <w:szCs w:val="21"/>
          <w:lang w:val="en-US" w:eastAsia="zh-CN" w:bidi="ar"/>
        </w:rPr>
        <w:t>合规性。</w:t>
      </w:r>
    </w:p>
    <w:p>
      <w:pPr>
        <w:pStyle w:val="107"/>
        <w:spacing w:before="240" w:after="240" w:line="288" w:lineRule="auto"/>
        <w:ind w:firstLine="420" w:firstLineChars="200"/>
        <w:rPr>
          <w:rFonts w:hint="eastAsia"/>
          <w:lang w:val="en-US" w:eastAsia="zh-CN"/>
        </w:rPr>
      </w:pPr>
      <w:bookmarkStart w:id="49" w:name="_Toc30815"/>
      <w:r>
        <w:rPr>
          <w:rFonts w:hint="eastAsia"/>
          <w:color w:val="000000" w:themeColor="text1"/>
          <w:szCs w:val="22"/>
          <w:highlight w:val="none"/>
          <w:lang w:val="en-US" w:eastAsia="zh-CN"/>
          <w14:textFill>
            <w14:solidFill>
              <w14:schemeClr w14:val="tx1"/>
            </w14:solidFill>
          </w14:textFill>
        </w:rPr>
        <w:t>更新评估流程</w:t>
      </w:r>
      <w:bookmarkEnd w:id="49"/>
    </w:p>
    <w:p>
      <w:pPr>
        <w:pStyle w:val="59"/>
        <w:spacing w:line="288" w:lineRule="auto"/>
        <w:ind w:firstLine="420" w:firstLineChars="200"/>
        <w:rPr>
          <w:rFonts w:hint="eastAsia"/>
          <w:lang w:val="en-US" w:eastAsia="zh-CN"/>
        </w:rPr>
      </w:pPr>
    </w:p>
    <w:p>
      <w:pPr>
        <w:pStyle w:val="123"/>
      </w:pPr>
      <w:r>
        <w:rPr>
          <w:rFonts w:hint="eastAsia"/>
          <w:lang w:val="en-US" w:eastAsia="zh-CN"/>
        </w:rPr>
        <w:t>锅炉更新评估流程应满足DB 50/T 1699.1的要求，主要流程包括：前期准备、资料评价、安全评价、寿命评价、节能评价、环保评价、更新评估、更新评级及评估报告。</w:t>
      </w:r>
    </w:p>
    <w:p>
      <w:pPr>
        <w:pStyle w:val="107"/>
        <w:spacing w:before="240" w:after="240"/>
        <w:rPr>
          <w:rFonts w:hint="eastAsia"/>
          <w:color w:val="000000" w:themeColor="text1"/>
          <w:szCs w:val="22"/>
          <w:highlight w:val="none"/>
          <w:lang w:val="en-US" w:eastAsia="zh-CN"/>
          <w14:textFill>
            <w14:solidFill>
              <w14:schemeClr w14:val="tx1"/>
            </w14:solidFill>
          </w14:textFill>
        </w:rPr>
      </w:pPr>
      <w:bookmarkStart w:id="50" w:name="_Toc23341"/>
      <w:r>
        <w:rPr>
          <w:rFonts w:hint="eastAsia"/>
          <w:color w:val="000000" w:themeColor="text1"/>
          <w:szCs w:val="22"/>
          <w:highlight w:val="none"/>
          <w:lang w:val="en-US" w:eastAsia="zh-CN"/>
          <w14:textFill>
            <w14:solidFill>
              <w14:schemeClr w14:val="tx1"/>
            </w14:solidFill>
          </w14:textFill>
        </w:rPr>
        <w:t>更新评估内容</w:t>
      </w:r>
      <w:bookmarkEnd w:id="50"/>
    </w:p>
    <w:p>
      <w:pPr>
        <w:pStyle w:val="59"/>
        <w:spacing w:line="288" w:lineRule="auto"/>
        <w:ind w:firstLine="0" w:firstLineChars="0"/>
        <w:rPr>
          <w:rFonts w:hint="eastAsia" w:ascii="黑体" w:eastAsia="黑体" w:cs="Times New Roman"/>
          <w:color w:val="000000" w:themeColor="text1"/>
          <w:sz w:val="21"/>
          <w:szCs w:val="22"/>
          <w:highlight w:val="none"/>
          <w:lang w:val="en-US" w:eastAsia="zh-CN" w:bidi="ar-SA"/>
          <w14:textFill>
            <w14:solidFill>
              <w14:schemeClr w14:val="tx1"/>
            </w14:solidFill>
          </w14:textFill>
        </w:rPr>
      </w:pPr>
      <w:r>
        <w:rPr>
          <w:rFonts w:hint="eastAsia" w:ascii="黑体" w:eastAsia="黑体"/>
          <w:color w:val="auto"/>
          <w:szCs w:val="22"/>
          <w:highlight w:val="none"/>
          <w:lang w:val="en-US" w:eastAsia="zh-CN"/>
        </w:rPr>
        <w:t xml:space="preserve">7.1 </w:t>
      </w:r>
      <w:r>
        <w:rPr>
          <w:rFonts w:hint="eastAsia" w:ascii="黑体" w:hAnsi="Times New Roman" w:eastAsia="黑体" w:cs="Times New Roman"/>
          <w:color w:val="000000" w:themeColor="text1"/>
          <w:sz w:val="21"/>
          <w:szCs w:val="22"/>
          <w:highlight w:val="none"/>
          <w:lang w:val="en-US" w:eastAsia="zh-CN" w:bidi="ar-SA"/>
          <w14:textFill>
            <w14:solidFill>
              <w14:schemeClr w14:val="tx1"/>
            </w14:solidFill>
          </w14:textFill>
        </w:rPr>
        <w:t>资料</w:t>
      </w:r>
      <w:r>
        <w:rPr>
          <w:rFonts w:hint="eastAsia" w:ascii="黑体" w:eastAsia="黑体" w:cs="Times New Roman"/>
          <w:color w:val="000000" w:themeColor="text1"/>
          <w:sz w:val="21"/>
          <w:szCs w:val="22"/>
          <w:highlight w:val="none"/>
          <w:lang w:val="en-US" w:eastAsia="zh-CN" w:bidi="ar-SA"/>
          <w14:textFill>
            <w14:solidFill>
              <w14:schemeClr w14:val="tx1"/>
            </w14:solidFill>
          </w14:textFill>
        </w:rPr>
        <w:t>评价</w:t>
      </w:r>
    </w:p>
    <w:p>
      <w:pPr>
        <w:spacing w:line="288" w:lineRule="auto"/>
        <w:ind w:firstLine="0" w:firstLineChars="0"/>
        <w:rPr>
          <w:rFonts w:hint="eastAsia" w:ascii="Times New Roman" w:hAnsi="Times New Roman" w:cs="Times New Roman"/>
          <w:color w:val="auto"/>
          <w:kern w:val="2"/>
          <w:sz w:val="21"/>
          <w:szCs w:val="21"/>
          <w:lang w:val="en-US" w:eastAsia="zh-CN" w:bidi="ar"/>
        </w:rPr>
      </w:pPr>
      <w:r>
        <w:rPr>
          <w:rFonts w:hint="eastAsia" w:ascii="黑体" w:hAnsi="Times New Roman" w:eastAsia="黑体" w:cs="Times New Roman"/>
          <w:color w:val="auto"/>
          <w:kern w:val="0"/>
          <w:sz w:val="21"/>
          <w:szCs w:val="22"/>
          <w:highlight w:val="none"/>
          <w:lang w:val="en-US" w:eastAsia="zh-CN" w:bidi="ar-SA"/>
        </w:rPr>
        <w:t xml:space="preserve">7.1.1 </w:t>
      </w:r>
      <w:r>
        <w:rPr>
          <w:rFonts w:hint="eastAsia" w:ascii="Times New Roman" w:hAnsi="Times New Roman" w:eastAsia="宋体" w:cs="Times New Roman"/>
          <w:color w:val="auto"/>
          <w:kern w:val="2"/>
          <w:sz w:val="21"/>
          <w:szCs w:val="21"/>
          <w:lang w:val="en-US" w:eastAsia="zh-CN" w:bidi="ar"/>
        </w:rPr>
        <w:t>锅炉资</w:t>
      </w:r>
      <w:r>
        <w:rPr>
          <w:rFonts w:hint="eastAsia" w:ascii="Times New Roman" w:hAnsi="Times New Roman" w:cs="Times New Roman"/>
          <w:color w:val="auto"/>
          <w:kern w:val="2"/>
          <w:sz w:val="21"/>
          <w:szCs w:val="21"/>
          <w:lang w:val="en-US" w:eastAsia="zh-CN" w:bidi="ar"/>
        </w:rPr>
        <w:t>料评价内容至少包括：产品铭牌、出厂质量证明书、出厂监督检验资料、使用登记资料、使用管理资料及运行管理资料等。</w:t>
      </w:r>
    </w:p>
    <w:p>
      <w:pPr>
        <w:spacing w:line="288" w:lineRule="auto"/>
        <w:ind w:firstLine="0" w:firstLineChars="0"/>
        <w:rPr>
          <w:rFonts w:hint="eastAsia" w:ascii="Times New Roman" w:hAnsi="Times New Roman" w:cs="Times New Roman"/>
          <w:color w:val="auto"/>
          <w:kern w:val="2"/>
          <w:sz w:val="21"/>
          <w:szCs w:val="21"/>
          <w:lang w:val="en-US" w:eastAsia="zh-CN" w:bidi="ar"/>
        </w:rPr>
      </w:pPr>
      <w:r>
        <w:rPr>
          <w:rFonts w:hint="eastAsia" w:ascii="黑体" w:hAnsi="Times New Roman" w:eastAsia="黑体" w:cs="Times New Roman"/>
          <w:color w:val="auto"/>
          <w:kern w:val="0"/>
          <w:sz w:val="21"/>
          <w:szCs w:val="22"/>
          <w:highlight w:val="none"/>
          <w:lang w:val="en-US" w:eastAsia="zh-CN" w:bidi="ar-SA"/>
        </w:rPr>
        <w:t>7.1.2</w:t>
      </w:r>
      <w:r>
        <w:rPr>
          <w:rFonts w:hint="eastAsia" w:ascii="Times New Roman" w:hAnsi="Times New Roman" w:cs="Times New Roman"/>
          <w:color w:val="auto"/>
          <w:kern w:val="2"/>
          <w:sz w:val="21"/>
          <w:szCs w:val="21"/>
          <w:lang w:val="en-US" w:eastAsia="zh-CN" w:bidi="ar"/>
        </w:rPr>
        <w:t xml:space="preserve"> 根据锅炉资料评价判断是否属于以下情形：</w:t>
      </w:r>
    </w:p>
    <w:p>
      <w:pPr>
        <w:spacing w:line="288" w:lineRule="auto"/>
        <w:rPr>
          <w:rFonts w:hint="eastAsia"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7.1.2.1国家明令淘汰或限制目录产品;</w:t>
      </w:r>
    </w:p>
    <w:p>
      <w:pPr>
        <w:spacing w:line="288" w:lineRule="auto"/>
        <w:rPr>
          <w:rFonts w:hint="eastAsia"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7.1.2.2属于限制使用区域;</w:t>
      </w:r>
    </w:p>
    <w:p>
      <w:pPr>
        <w:spacing w:line="288" w:lineRule="auto"/>
        <w:rPr>
          <w:rFonts w:hint="eastAsia" w:ascii="Times New Roman" w:hAnsi="Times New Roman" w:cs="Times New Roman"/>
          <w:color w:val="auto"/>
          <w:kern w:val="2"/>
          <w:sz w:val="21"/>
          <w:szCs w:val="21"/>
          <w:lang w:val="en-US" w:eastAsia="zh-CN" w:bidi="ar"/>
        </w:rPr>
      </w:pPr>
      <w:r>
        <w:rPr>
          <w:rFonts w:hint="eastAsia" w:ascii="Times New Roman" w:hAnsi="Times New Roman" w:cs="Times New Roman"/>
          <w:color w:val="auto"/>
          <w:kern w:val="2"/>
          <w:sz w:val="21"/>
          <w:szCs w:val="21"/>
          <w:lang w:val="en-US" w:eastAsia="zh-CN" w:bidi="ar"/>
        </w:rPr>
        <w:t>7.1.2.3超过设计使用年限;</w:t>
      </w:r>
    </w:p>
    <w:p>
      <w:pPr>
        <w:pStyle w:val="59"/>
        <w:spacing w:line="288" w:lineRule="auto"/>
        <w:ind w:left="630" w:hanging="630" w:hangingChars="300"/>
        <w:rPr>
          <w:rFonts w:hint="eastAsia"/>
          <w:color w:val="auto"/>
          <w:szCs w:val="22"/>
          <w:highlight w:val="none"/>
          <w:lang w:val="en-US" w:eastAsia="zh-CN"/>
        </w:rPr>
      </w:pPr>
      <w:r>
        <w:rPr>
          <w:rFonts w:hint="eastAsia" w:ascii="黑体" w:eastAsia="黑体"/>
          <w:color w:val="auto"/>
          <w:szCs w:val="22"/>
          <w:highlight w:val="none"/>
          <w:lang w:val="en-US" w:eastAsia="zh-CN"/>
        </w:rPr>
        <w:t xml:space="preserve">7.1.3 </w:t>
      </w:r>
      <w:r>
        <w:rPr>
          <w:rFonts w:hint="eastAsia"/>
          <w:color w:val="auto"/>
          <w:szCs w:val="22"/>
          <w:highlight w:val="none"/>
          <w:lang w:val="en-US" w:eastAsia="zh-CN"/>
        </w:rPr>
        <w:t>锅炉资料评价结论为“符合”和“不符合”两种。</w:t>
      </w:r>
    </w:p>
    <w:p>
      <w:pPr>
        <w:pStyle w:val="59"/>
        <w:spacing w:line="288" w:lineRule="auto"/>
        <w:ind w:left="630" w:hanging="630" w:hangingChars="300"/>
        <w:rPr>
          <w:rFonts w:hint="eastAsia" w:ascii="Times New Roman" w:hAnsi="Times New Roman" w:eastAsia="宋体" w:cs="Times New Roman"/>
          <w:kern w:val="2"/>
          <w:sz w:val="21"/>
          <w:szCs w:val="21"/>
          <w:lang w:val="en-US" w:eastAsia="zh-CN" w:bidi="ar"/>
        </w:rPr>
      </w:pPr>
      <w:r>
        <w:rPr>
          <w:rFonts w:hint="eastAsia" w:ascii="Times New Roman" w:hAnsi="Times New Roman" w:cs="Times New Roman"/>
          <w:color w:val="000000" w:themeColor="text1"/>
          <w:kern w:val="2"/>
          <w:sz w:val="21"/>
          <w:szCs w:val="21"/>
          <w:lang w:val="en-US" w:eastAsia="zh-CN" w:bidi="ar"/>
          <w14:textFill>
            <w14:solidFill>
              <w14:schemeClr w14:val="tx1"/>
            </w14:solidFill>
          </w14:textFill>
        </w:rPr>
        <w:t>7.1.</w:t>
      </w:r>
      <w:r>
        <w:rPr>
          <w:rFonts w:hint="eastAsia" w:ascii="Times New Roman" w:cs="Times New Roman"/>
          <w:color w:val="000000" w:themeColor="text1"/>
          <w:kern w:val="2"/>
          <w:sz w:val="21"/>
          <w:szCs w:val="21"/>
          <w:lang w:val="en-US" w:eastAsia="zh-CN" w:bidi="ar"/>
          <w14:textFill>
            <w14:solidFill>
              <w14:schemeClr w14:val="tx1"/>
            </w14:solidFill>
          </w14:textFill>
        </w:rPr>
        <w:t>3</w:t>
      </w:r>
      <w:r>
        <w:rPr>
          <w:rFonts w:hint="eastAsia" w:ascii="Times New Roman" w:hAnsi="Times New Roman" w:cs="Times New Roman"/>
          <w:color w:val="000000" w:themeColor="text1"/>
          <w:kern w:val="2"/>
          <w:sz w:val="21"/>
          <w:szCs w:val="21"/>
          <w:lang w:val="en-US" w:eastAsia="zh-CN" w:bidi="ar"/>
          <w14:textFill>
            <w14:solidFill>
              <w14:schemeClr w14:val="tx1"/>
            </w14:solidFill>
          </w14:textFill>
        </w:rPr>
        <w:t>.1</w:t>
      </w:r>
      <w:r>
        <w:rPr>
          <w:rFonts w:hint="eastAsia" w:ascii="Times New Roman" w:hAnsi="Times New Roman" w:eastAsia="宋体" w:cs="Times New Roman"/>
          <w:kern w:val="2"/>
          <w:sz w:val="21"/>
          <w:szCs w:val="21"/>
          <w:lang w:val="en-US" w:eastAsia="zh-CN" w:bidi="ar"/>
        </w:rPr>
        <w:t>锅炉不属于</w:t>
      </w:r>
      <w:r>
        <w:rPr>
          <w:rFonts w:hint="eastAsia" w:ascii="Times New Roman" w:cs="Times New Roman"/>
          <w:kern w:val="2"/>
          <w:sz w:val="21"/>
          <w:szCs w:val="21"/>
          <w:lang w:val="en-US" w:eastAsia="zh-CN" w:bidi="ar"/>
        </w:rPr>
        <w:t>第7.1.2条情形的，</w:t>
      </w:r>
      <w:r>
        <w:rPr>
          <w:rFonts w:hint="eastAsia" w:ascii="Times New Roman" w:hAnsi="Times New Roman" w:eastAsia="宋体" w:cs="Times New Roman"/>
          <w:kern w:val="2"/>
          <w:sz w:val="21"/>
          <w:szCs w:val="21"/>
          <w:lang w:val="en-US" w:eastAsia="zh-CN" w:bidi="ar"/>
        </w:rPr>
        <w:t>资料评价结论为“符合”。</w:t>
      </w:r>
    </w:p>
    <w:p>
      <w:pPr>
        <w:pStyle w:val="59"/>
        <w:spacing w:line="288" w:lineRule="auto"/>
        <w:ind w:left="630" w:leftChars="0" w:hanging="630" w:hangingChars="300"/>
        <w:rPr>
          <w:rFonts w:hint="eastAsia" w:ascii="Times New Roman" w:cs="Times New Roman"/>
          <w:color w:val="auto"/>
          <w:kern w:val="2"/>
          <w:sz w:val="21"/>
          <w:szCs w:val="21"/>
          <w:lang w:val="en-US" w:eastAsia="zh-CN" w:bidi="ar"/>
        </w:rPr>
      </w:pPr>
      <w:r>
        <w:rPr>
          <w:rFonts w:hint="eastAsia" w:ascii="Times New Roman" w:hAnsi="Times New Roman" w:cs="Times New Roman"/>
          <w:color w:val="000000" w:themeColor="text1"/>
          <w:kern w:val="2"/>
          <w:sz w:val="21"/>
          <w:szCs w:val="21"/>
          <w:lang w:val="en-US" w:eastAsia="zh-CN" w:bidi="ar"/>
          <w14:textFill>
            <w14:solidFill>
              <w14:schemeClr w14:val="tx1"/>
            </w14:solidFill>
          </w14:textFill>
        </w:rPr>
        <w:t>7.1.</w:t>
      </w:r>
      <w:r>
        <w:rPr>
          <w:rFonts w:hint="eastAsia" w:ascii="Times New Roman" w:cs="Times New Roman"/>
          <w:color w:val="000000" w:themeColor="text1"/>
          <w:kern w:val="2"/>
          <w:sz w:val="21"/>
          <w:szCs w:val="21"/>
          <w:lang w:val="en-US" w:eastAsia="zh-CN" w:bidi="ar"/>
          <w14:textFill>
            <w14:solidFill>
              <w14:schemeClr w14:val="tx1"/>
            </w14:solidFill>
          </w14:textFill>
        </w:rPr>
        <w:t>3</w:t>
      </w:r>
      <w:r>
        <w:rPr>
          <w:rFonts w:hint="eastAsia" w:ascii="Times New Roman" w:hAnsi="Times New Roman" w:cs="Times New Roman"/>
          <w:color w:val="000000" w:themeColor="text1"/>
          <w:kern w:val="2"/>
          <w:sz w:val="21"/>
          <w:szCs w:val="21"/>
          <w:lang w:val="en-US" w:eastAsia="zh-CN" w:bidi="ar"/>
          <w14:textFill>
            <w14:solidFill>
              <w14:schemeClr w14:val="tx1"/>
            </w14:solidFill>
          </w14:textFill>
        </w:rPr>
        <w:t>.</w:t>
      </w:r>
      <w:r>
        <w:rPr>
          <w:rFonts w:hint="eastAsia" w:ascii="Times New Roman" w:cs="Times New Roman"/>
          <w:color w:val="000000" w:themeColor="text1"/>
          <w:kern w:val="2"/>
          <w:sz w:val="21"/>
          <w:szCs w:val="21"/>
          <w:lang w:val="en-US" w:eastAsia="zh-CN" w:bidi="ar"/>
          <w14:textFill>
            <w14:solidFill>
              <w14:schemeClr w14:val="tx1"/>
            </w14:solidFill>
          </w14:textFill>
        </w:rPr>
        <w:t>2</w:t>
      </w:r>
      <w:r>
        <w:rPr>
          <w:rFonts w:hint="eastAsia" w:ascii="Times New Roman" w:hAnsi="Times New Roman" w:eastAsia="宋体" w:cs="Times New Roman"/>
          <w:kern w:val="2"/>
          <w:sz w:val="21"/>
          <w:szCs w:val="21"/>
          <w:lang w:val="en-US" w:eastAsia="zh-CN" w:bidi="ar"/>
        </w:rPr>
        <w:t>锅炉属于</w:t>
      </w:r>
      <w:r>
        <w:rPr>
          <w:rFonts w:hint="eastAsia" w:ascii="Times New Roman" w:cs="Times New Roman"/>
          <w:kern w:val="2"/>
          <w:sz w:val="21"/>
          <w:szCs w:val="21"/>
          <w:lang w:val="en-US" w:eastAsia="zh-CN" w:bidi="ar"/>
        </w:rPr>
        <w:t>第7.1.2条中情形之一的，</w:t>
      </w:r>
      <w:r>
        <w:rPr>
          <w:rFonts w:hint="eastAsia" w:ascii="Times New Roman" w:hAnsi="Times New Roman" w:eastAsia="宋体" w:cs="Times New Roman"/>
          <w:kern w:val="2"/>
          <w:sz w:val="21"/>
          <w:szCs w:val="21"/>
          <w:lang w:val="en-US" w:eastAsia="zh-CN" w:bidi="ar"/>
        </w:rPr>
        <w:t>资料评价结论为“</w:t>
      </w:r>
      <w:r>
        <w:rPr>
          <w:rFonts w:hint="eastAsia" w:ascii="Times New Roman" w:cs="Times New Roman"/>
          <w:kern w:val="2"/>
          <w:sz w:val="21"/>
          <w:szCs w:val="21"/>
          <w:lang w:val="en-US" w:eastAsia="zh-CN" w:bidi="ar"/>
        </w:rPr>
        <w:t>不</w:t>
      </w:r>
      <w:r>
        <w:rPr>
          <w:rFonts w:hint="eastAsia" w:ascii="Times New Roman" w:hAnsi="Times New Roman" w:eastAsia="宋体" w:cs="Times New Roman"/>
          <w:kern w:val="2"/>
          <w:sz w:val="21"/>
          <w:szCs w:val="21"/>
          <w:lang w:val="en-US" w:eastAsia="zh-CN" w:bidi="ar"/>
        </w:rPr>
        <w:t>符合”。</w:t>
      </w:r>
    </w:p>
    <w:p>
      <w:pPr>
        <w:pStyle w:val="59"/>
        <w:spacing w:line="288" w:lineRule="auto"/>
        <w:ind w:firstLine="0" w:firstLineChars="0"/>
        <w:rPr>
          <w:rFonts w:hint="eastAsia" w:ascii="黑体" w:eastAsia="黑体"/>
          <w:color w:val="auto"/>
          <w:szCs w:val="22"/>
          <w:highlight w:val="none"/>
          <w:lang w:val="en-US" w:eastAsia="zh-CN"/>
        </w:rPr>
      </w:pPr>
    </w:p>
    <w:p>
      <w:pPr>
        <w:pStyle w:val="59"/>
        <w:spacing w:line="288" w:lineRule="auto"/>
        <w:ind w:firstLine="0" w:firstLineChars="0"/>
        <w:rPr>
          <w:rFonts w:hint="eastAsia" w:ascii="黑体" w:eastAsia="黑体"/>
          <w:color w:val="auto"/>
          <w:szCs w:val="22"/>
          <w:highlight w:val="none"/>
          <w:lang w:val="en-US" w:eastAsia="zh-CN"/>
        </w:rPr>
      </w:pPr>
      <w:r>
        <w:rPr>
          <w:rFonts w:hint="eastAsia" w:ascii="黑体" w:eastAsia="黑体"/>
          <w:color w:val="auto"/>
          <w:szCs w:val="22"/>
          <w:highlight w:val="none"/>
          <w:lang w:val="en-US" w:eastAsia="zh-CN"/>
        </w:rPr>
        <w:t>7.2  安全评价</w:t>
      </w:r>
    </w:p>
    <w:p>
      <w:pPr>
        <w:pStyle w:val="59"/>
        <w:spacing w:line="288" w:lineRule="auto"/>
        <w:ind w:firstLine="0" w:firstLineChars="0"/>
        <w:rPr>
          <w:rFonts w:hint="eastAsia" w:ascii="黑体" w:eastAsia="黑体"/>
          <w:color w:val="auto"/>
          <w:szCs w:val="22"/>
          <w:highlight w:val="none"/>
          <w:lang w:val="en-US" w:eastAsia="zh-CN"/>
        </w:rPr>
      </w:pPr>
    </w:p>
    <w:p>
      <w:pPr>
        <w:pStyle w:val="59"/>
        <w:spacing w:line="288" w:lineRule="auto"/>
        <w:ind w:firstLine="0" w:firstLineChars="0"/>
        <w:rPr>
          <w:rFonts w:hint="eastAsia" w:ascii="黑体" w:eastAsia="黑体"/>
          <w:color w:val="auto"/>
          <w:szCs w:val="22"/>
          <w:highlight w:val="none"/>
          <w:lang w:val="en-US" w:eastAsia="zh-CN"/>
        </w:rPr>
      </w:pPr>
      <w:r>
        <w:rPr>
          <w:rFonts w:hint="eastAsia" w:ascii="黑体" w:eastAsia="黑体"/>
          <w:color w:val="auto"/>
          <w:szCs w:val="22"/>
          <w:highlight w:val="none"/>
          <w:lang w:val="en-US" w:eastAsia="zh-CN"/>
        </w:rPr>
        <w:t xml:space="preserve">7.2.1 </w:t>
      </w:r>
      <w:r>
        <w:rPr>
          <w:rFonts w:hint="eastAsia" w:ascii="Times New Roman" w:hAnsi="Times New Roman" w:eastAsia="宋体" w:cs="Times New Roman"/>
          <w:color w:val="auto"/>
          <w:kern w:val="2"/>
          <w:sz w:val="21"/>
          <w:szCs w:val="21"/>
          <w:lang w:val="en-US" w:eastAsia="zh-CN" w:bidi="ar"/>
        </w:rPr>
        <w:t>锅炉</w:t>
      </w:r>
      <w:r>
        <w:rPr>
          <w:rFonts w:hint="eastAsia" w:ascii="Times New Roman" w:cs="Times New Roman"/>
          <w:color w:val="auto"/>
          <w:kern w:val="2"/>
          <w:sz w:val="21"/>
          <w:szCs w:val="21"/>
          <w:lang w:val="en-US" w:eastAsia="zh-CN" w:bidi="ar"/>
        </w:rPr>
        <w:t>安全</w:t>
      </w:r>
      <w:r>
        <w:rPr>
          <w:rFonts w:hint="eastAsia" w:ascii="Times New Roman" w:hAnsi="Times New Roman" w:eastAsia="宋体" w:cs="Times New Roman"/>
          <w:color w:val="auto"/>
          <w:kern w:val="2"/>
          <w:sz w:val="21"/>
          <w:szCs w:val="21"/>
          <w:lang w:val="en-US" w:eastAsia="zh-CN" w:bidi="ar"/>
        </w:rPr>
        <w:t>评价</w:t>
      </w:r>
      <w:r>
        <w:rPr>
          <w:rFonts w:hint="eastAsia" w:ascii="Times New Roman" w:hAnsi="Times New Roman" w:cs="Times New Roman"/>
          <w:color w:val="auto"/>
          <w:kern w:val="2"/>
          <w:sz w:val="21"/>
          <w:szCs w:val="21"/>
          <w:lang w:val="en-US" w:eastAsia="zh-CN" w:bidi="ar"/>
        </w:rPr>
        <w:t>内容至少包括</w:t>
      </w:r>
      <w:r>
        <w:rPr>
          <w:rFonts w:hint="eastAsia" w:ascii="Times New Roman" w:cs="Times New Roman"/>
          <w:color w:val="auto"/>
          <w:kern w:val="2"/>
          <w:sz w:val="21"/>
          <w:szCs w:val="21"/>
          <w:lang w:val="en-US" w:eastAsia="zh-CN" w:bidi="ar"/>
        </w:rPr>
        <w:t>：</w:t>
      </w:r>
      <w:r>
        <w:rPr>
          <w:rFonts w:hint="eastAsia"/>
          <w:strike w:val="0"/>
          <w:dstrike w:val="0"/>
          <w:color w:val="auto"/>
          <w:szCs w:val="22"/>
          <w:highlight w:val="none"/>
          <w:lang w:val="en-US" w:eastAsia="zh-CN"/>
        </w:rPr>
        <w:t>锅炉内部检验、锅炉外部检验、锅炉水（耐）压试验项目。</w:t>
      </w:r>
    </w:p>
    <w:p>
      <w:pPr>
        <w:pStyle w:val="59"/>
        <w:spacing w:line="288" w:lineRule="auto"/>
        <w:ind w:firstLine="0" w:firstLineChars="0"/>
        <w:rPr>
          <w:rFonts w:hint="eastAsia"/>
          <w:color w:val="auto"/>
          <w:szCs w:val="22"/>
          <w:highlight w:val="none"/>
          <w:lang w:val="en-US" w:eastAsia="zh-CN"/>
        </w:rPr>
      </w:pPr>
      <w:r>
        <w:rPr>
          <w:rFonts w:hint="eastAsia" w:ascii="黑体" w:eastAsia="黑体"/>
          <w:color w:val="auto"/>
          <w:szCs w:val="22"/>
          <w:highlight w:val="none"/>
          <w:lang w:val="en-US" w:eastAsia="zh-CN"/>
        </w:rPr>
        <w:t xml:space="preserve">7.2.2 </w:t>
      </w:r>
      <w:r>
        <w:rPr>
          <w:rFonts w:hint="eastAsia"/>
          <w:strike w:val="0"/>
          <w:dstrike w:val="0"/>
          <w:color w:val="auto"/>
          <w:szCs w:val="22"/>
          <w:highlight w:val="none"/>
          <w:lang w:val="en-US" w:eastAsia="zh-CN"/>
        </w:rPr>
        <w:t>锅炉内部检验、锅炉外部检验、锅炉水（耐）压试验项目</w:t>
      </w:r>
      <w:r>
        <w:rPr>
          <w:rFonts w:hint="eastAsia"/>
          <w:color w:val="auto"/>
          <w:szCs w:val="22"/>
          <w:highlight w:val="none"/>
          <w:lang w:val="en-US" w:eastAsia="zh-CN"/>
        </w:rPr>
        <w:t>按现行</w:t>
      </w:r>
      <w:r>
        <w:rPr>
          <w:rFonts w:hint="eastAsia" w:ascii="Times New Roman"/>
          <w:color w:val="auto"/>
          <w:kern w:val="2"/>
          <w:szCs w:val="21"/>
          <w:highlight w:val="none"/>
          <w:lang w:val="en-US" w:eastAsia="zh-CN" w:bidi="ar"/>
        </w:rPr>
        <w:t>TSG 11</w:t>
      </w:r>
      <w:r>
        <w:rPr>
          <w:rFonts w:hint="eastAsia"/>
          <w:color w:val="auto"/>
          <w:szCs w:val="22"/>
          <w:highlight w:val="none"/>
          <w:lang w:val="en-US" w:eastAsia="zh-CN"/>
        </w:rPr>
        <w:t>、</w:t>
      </w:r>
      <w:r>
        <w:rPr>
          <w:rFonts w:hint="eastAsia" w:ascii="Times New Roman" w:cs="Times New Roman"/>
          <w:color w:val="auto"/>
          <w:kern w:val="2"/>
          <w:sz w:val="21"/>
          <w:szCs w:val="21"/>
          <w:lang w:val="en-US" w:eastAsia="zh-CN" w:bidi="ar"/>
        </w:rPr>
        <w:t>GB/T 42535等</w:t>
      </w:r>
      <w:r>
        <w:rPr>
          <w:rFonts w:hint="eastAsia"/>
          <w:color w:val="auto"/>
          <w:szCs w:val="22"/>
          <w:highlight w:val="none"/>
          <w:lang w:val="en-US" w:eastAsia="zh-CN"/>
        </w:rPr>
        <w:t>中检验的相关规定进行检验</w:t>
      </w:r>
      <w:r>
        <w:rPr>
          <w:rFonts w:hint="eastAsia"/>
          <w:strike w:val="0"/>
          <w:dstrike w:val="0"/>
          <w:color w:val="auto"/>
          <w:szCs w:val="22"/>
          <w:highlight w:val="none"/>
          <w:lang w:val="en-US" w:eastAsia="zh-CN"/>
        </w:rPr>
        <w:t>，</w:t>
      </w:r>
      <w:r>
        <w:rPr>
          <w:rFonts w:hint="eastAsia"/>
          <w:color w:val="auto"/>
          <w:szCs w:val="22"/>
          <w:highlight w:val="none"/>
          <w:lang w:val="en-US" w:eastAsia="zh-CN"/>
        </w:rPr>
        <w:t>检验结论作为锅炉安全评价依据。</w:t>
      </w:r>
    </w:p>
    <w:p>
      <w:pPr>
        <w:pStyle w:val="59"/>
        <w:spacing w:line="288" w:lineRule="auto"/>
        <w:ind w:firstLine="0" w:firstLineChars="0"/>
        <w:rPr>
          <w:rFonts w:hint="eastAsia"/>
          <w:color w:val="auto"/>
          <w:szCs w:val="22"/>
          <w:highlight w:val="none"/>
          <w:lang w:val="en-US" w:eastAsia="zh-CN"/>
        </w:rPr>
      </w:pPr>
      <w:r>
        <w:rPr>
          <w:rFonts w:hint="eastAsia" w:ascii="黑体" w:eastAsia="黑体"/>
          <w:color w:val="auto"/>
          <w:szCs w:val="22"/>
          <w:highlight w:val="none"/>
          <w:lang w:val="en-US" w:eastAsia="zh-CN"/>
        </w:rPr>
        <w:t xml:space="preserve">7.2.3 </w:t>
      </w:r>
      <w:r>
        <w:rPr>
          <w:rFonts w:hint="eastAsia"/>
          <w:color w:val="auto"/>
          <w:szCs w:val="22"/>
          <w:highlight w:val="none"/>
          <w:lang w:val="en-US" w:eastAsia="zh-CN"/>
        </w:rPr>
        <w:t>当锅炉检验报告在有效期内时，可不单独进行锅炉安全性能评价，引用锅炉检验报告作为安全性能评价依据。</w:t>
      </w:r>
    </w:p>
    <w:p>
      <w:pPr>
        <w:pStyle w:val="59"/>
        <w:spacing w:line="288" w:lineRule="auto"/>
        <w:ind w:firstLine="0" w:firstLineChars="0"/>
        <w:rPr>
          <w:rFonts w:hint="eastAsia"/>
          <w:color w:val="auto"/>
          <w:szCs w:val="22"/>
          <w:highlight w:val="none"/>
          <w:lang w:val="en-US" w:eastAsia="zh-CN"/>
        </w:rPr>
      </w:pPr>
      <w:r>
        <w:rPr>
          <w:rFonts w:hint="eastAsia" w:ascii="黑体" w:eastAsia="黑体"/>
          <w:color w:val="auto"/>
          <w:szCs w:val="22"/>
          <w:highlight w:val="none"/>
          <w:lang w:val="en-US" w:eastAsia="zh-CN"/>
        </w:rPr>
        <w:t xml:space="preserve">7.2.4 </w:t>
      </w:r>
      <w:r>
        <w:rPr>
          <w:rFonts w:hint="eastAsia"/>
          <w:strike w:val="0"/>
          <w:dstrike w:val="0"/>
          <w:color w:val="auto"/>
          <w:szCs w:val="22"/>
          <w:highlight w:val="none"/>
          <w:lang w:val="en-US" w:eastAsia="zh-CN"/>
        </w:rPr>
        <w:t>锅炉安全评价</w:t>
      </w:r>
      <w:r>
        <w:rPr>
          <w:rFonts w:hint="eastAsia"/>
          <w:color w:val="auto"/>
          <w:szCs w:val="22"/>
          <w:highlight w:val="none"/>
          <w:lang w:val="en-US" w:eastAsia="zh-CN"/>
        </w:rPr>
        <w:t>结论为“符合”和“不符合”两种。</w:t>
      </w:r>
    </w:p>
    <w:p>
      <w:pPr>
        <w:pStyle w:val="59"/>
        <w:spacing w:line="288" w:lineRule="auto"/>
        <w:ind w:firstLine="0" w:firstLineChars="0"/>
        <w:rPr>
          <w:rFonts w:hint="eastAsia"/>
          <w:strike w:val="0"/>
          <w:dstrike w:val="0"/>
          <w:color w:val="auto"/>
          <w:szCs w:val="22"/>
          <w:highlight w:val="none"/>
          <w:lang w:val="en-US" w:eastAsia="zh-CN"/>
        </w:rPr>
      </w:pPr>
      <w:r>
        <w:rPr>
          <w:rFonts w:hint="eastAsia" w:ascii="黑体" w:eastAsia="黑体"/>
          <w:color w:val="auto"/>
          <w:szCs w:val="22"/>
          <w:highlight w:val="none"/>
          <w:lang w:val="en-US" w:eastAsia="zh-CN"/>
        </w:rPr>
        <w:t>7.2.4.1</w:t>
      </w:r>
      <w:r>
        <w:rPr>
          <w:rFonts w:hint="eastAsia"/>
          <w:strike w:val="0"/>
          <w:dstrike w:val="0"/>
          <w:color w:val="auto"/>
          <w:szCs w:val="22"/>
          <w:highlight w:val="none"/>
          <w:lang w:val="en-US" w:eastAsia="zh-CN"/>
        </w:rPr>
        <w:t xml:space="preserve"> 锅炉内部检验、锅炉外部检验、锅炉水（耐）压试验报告结论均为“符合要求”时，安全评价结论为“符合”。</w:t>
      </w:r>
    </w:p>
    <w:p>
      <w:pPr>
        <w:pStyle w:val="59"/>
        <w:spacing w:line="288" w:lineRule="auto"/>
        <w:ind w:firstLine="0" w:firstLineChars="0"/>
        <w:rPr>
          <w:rFonts w:hint="eastAsia"/>
          <w:strike w:val="0"/>
          <w:dstrike w:val="0"/>
          <w:color w:val="auto"/>
          <w:szCs w:val="22"/>
          <w:highlight w:val="none"/>
          <w:lang w:val="en-US" w:eastAsia="zh-CN"/>
        </w:rPr>
      </w:pPr>
      <w:r>
        <w:rPr>
          <w:rFonts w:hint="eastAsia" w:ascii="黑体" w:eastAsia="黑体"/>
          <w:color w:val="auto"/>
          <w:szCs w:val="22"/>
          <w:highlight w:val="none"/>
          <w:lang w:val="en-US" w:eastAsia="zh-CN"/>
        </w:rPr>
        <w:t>7.2.4.2</w:t>
      </w:r>
      <w:r>
        <w:rPr>
          <w:rFonts w:hint="eastAsia"/>
          <w:strike w:val="0"/>
          <w:dstrike w:val="0"/>
          <w:color w:val="auto"/>
          <w:szCs w:val="22"/>
          <w:highlight w:val="none"/>
          <w:lang w:val="en-US" w:eastAsia="zh-CN"/>
        </w:rPr>
        <w:t xml:space="preserve"> 除7.2.4.1条外的情形，安全评价结论为“不符合”。</w:t>
      </w:r>
    </w:p>
    <w:p>
      <w:pPr>
        <w:pStyle w:val="59"/>
        <w:spacing w:line="288" w:lineRule="auto"/>
        <w:ind w:firstLine="0" w:firstLineChars="0"/>
        <w:rPr>
          <w:rFonts w:hint="eastAsia"/>
          <w:strike w:val="0"/>
          <w:dstrike w:val="0"/>
          <w:color w:val="FF0000"/>
          <w:szCs w:val="22"/>
          <w:highlight w:val="none"/>
          <w:lang w:val="en-US" w:eastAsia="zh-CN"/>
        </w:rPr>
      </w:pPr>
    </w:p>
    <w:p>
      <w:pPr>
        <w:pStyle w:val="59"/>
        <w:spacing w:line="288" w:lineRule="auto"/>
        <w:ind w:firstLine="0" w:firstLineChars="0"/>
        <w:rPr>
          <w:rFonts w:hint="eastAsia" w:ascii="黑体" w:eastAsia="黑体"/>
          <w:color w:val="auto"/>
          <w:szCs w:val="22"/>
          <w:highlight w:val="none"/>
          <w:lang w:val="en-US" w:eastAsia="zh-CN"/>
        </w:rPr>
      </w:pPr>
      <w:r>
        <w:rPr>
          <w:rFonts w:hint="eastAsia" w:ascii="黑体" w:eastAsia="黑体"/>
          <w:color w:val="auto"/>
          <w:szCs w:val="22"/>
          <w:highlight w:val="none"/>
          <w:lang w:val="en-US" w:eastAsia="zh-CN"/>
        </w:rPr>
        <w:t>7.3 寿命评价</w:t>
      </w:r>
    </w:p>
    <w:p>
      <w:pPr>
        <w:pStyle w:val="59"/>
        <w:spacing w:line="288" w:lineRule="auto"/>
        <w:ind w:firstLine="0" w:firstLineChars="0"/>
        <w:rPr>
          <w:rFonts w:hint="eastAsia" w:ascii="黑体" w:eastAsia="黑体"/>
          <w:color w:val="auto"/>
          <w:szCs w:val="22"/>
          <w:highlight w:val="none"/>
          <w:lang w:val="en-US" w:eastAsia="zh-CN"/>
        </w:rPr>
      </w:pPr>
    </w:p>
    <w:p>
      <w:pPr>
        <w:pStyle w:val="59"/>
        <w:spacing w:line="288" w:lineRule="auto"/>
        <w:ind w:firstLine="0" w:firstLineChars="0"/>
        <w:rPr>
          <w:rFonts w:hint="eastAsia"/>
          <w:strike w:val="0"/>
          <w:dstrike w:val="0"/>
          <w:color w:val="auto"/>
          <w:szCs w:val="22"/>
          <w:highlight w:val="none"/>
          <w:lang w:val="en-US" w:eastAsia="zh-CN"/>
        </w:rPr>
      </w:pPr>
      <w:r>
        <w:rPr>
          <w:rFonts w:hint="eastAsia" w:ascii="黑体" w:eastAsia="黑体"/>
          <w:strike w:val="0"/>
          <w:dstrike w:val="0"/>
          <w:color w:val="auto"/>
          <w:szCs w:val="22"/>
          <w:highlight w:val="none"/>
          <w:lang w:val="en-US" w:eastAsia="zh-CN"/>
        </w:rPr>
        <w:t xml:space="preserve">7.3.1 </w:t>
      </w:r>
      <w:r>
        <w:rPr>
          <w:rFonts w:hint="eastAsia"/>
          <w:strike w:val="0"/>
          <w:dstrike w:val="0"/>
          <w:color w:val="auto"/>
          <w:szCs w:val="22"/>
          <w:highlight w:val="none"/>
          <w:lang w:val="en-US" w:eastAsia="zh-CN"/>
        </w:rPr>
        <w:t>锅炉寿命评价包括电站锅炉寿命评价和电站锅炉以外的锅炉寿命评价。</w:t>
      </w:r>
    </w:p>
    <w:p>
      <w:pPr>
        <w:pStyle w:val="59"/>
        <w:spacing w:line="288" w:lineRule="auto"/>
        <w:ind w:firstLine="0" w:firstLineChars="0"/>
        <w:rPr>
          <w:rFonts w:hint="eastAsia"/>
          <w:strike w:val="0"/>
          <w:dstrike w:val="0"/>
          <w:color w:val="auto"/>
          <w:szCs w:val="22"/>
          <w:highlight w:val="none"/>
          <w:lang w:val="en-US" w:eastAsia="zh-CN"/>
        </w:rPr>
      </w:pPr>
      <w:r>
        <w:rPr>
          <w:rFonts w:hint="eastAsia" w:ascii="黑体" w:eastAsia="黑体"/>
          <w:color w:val="auto"/>
          <w:szCs w:val="22"/>
          <w:highlight w:val="none"/>
          <w:lang w:val="en-US" w:eastAsia="zh-CN"/>
        </w:rPr>
        <w:t xml:space="preserve">7.3.1.1 </w:t>
      </w:r>
      <w:r>
        <w:rPr>
          <w:rFonts w:hint="eastAsia"/>
          <w:strike w:val="0"/>
          <w:dstrike w:val="0"/>
          <w:color w:val="auto"/>
          <w:szCs w:val="22"/>
          <w:highlight w:val="none"/>
          <w:lang w:val="en-US" w:eastAsia="zh-CN"/>
        </w:rPr>
        <w:t>电站锅炉寿命评价</w:t>
      </w:r>
      <w:r>
        <w:rPr>
          <w:rFonts w:hint="eastAsia"/>
          <w:color w:val="auto"/>
          <w:szCs w:val="22"/>
          <w:highlight w:val="none"/>
          <w:lang w:val="en-US" w:eastAsia="zh-CN"/>
        </w:rPr>
        <w:t>应</w:t>
      </w:r>
      <w:r>
        <w:rPr>
          <w:rFonts w:hint="eastAsia"/>
          <w:strike w:val="0"/>
          <w:dstrike w:val="0"/>
          <w:color w:val="auto"/>
          <w:szCs w:val="22"/>
          <w:highlight w:val="none"/>
          <w:lang w:val="en-US" w:eastAsia="zh-CN"/>
        </w:rPr>
        <w:t>根据GB/T 30580对部件进行评价。</w:t>
      </w:r>
    </w:p>
    <w:p>
      <w:pPr>
        <w:pStyle w:val="59"/>
        <w:spacing w:line="288" w:lineRule="auto"/>
        <w:ind w:firstLine="0" w:firstLineChars="0"/>
        <w:rPr>
          <w:rFonts w:hint="eastAsia"/>
          <w:strike w:val="0"/>
          <w:dstrike w:val="0"/>
          <w:color w:val="auto"/>
          <w:szCs w:val="22"/>
          <w:highlight w:val="none"/>
          <w:lang w:val="en-US" w:eastAsia="zh-CN"/>
        </w:rPr>
      </w:pPr>
      <w:r>
        <w:rPr>
          <w:rFonts w:hint="eastAsia" w:ascii="黑体" w:eastAsia="黑体"/>
          <w:color w:val="auto"/>
          <w:szCs w:val="22"/>
          <w:highlight w:val="none"/>
          <w:lang w:val="en-US" w:eastAsia="zh-CN"/>
        </w:rPr>
        <w:t xml:space="preserve">7.3.1.2 </w:t>
      </w:r>
      <w:r>
        <w:rPr>
          <w:rFonts w:hint="eastAsia"/>
          <w:strike w:val="0"/>
          <w:dstrike w:val="0"/>
          <w:color w:val="auto"/>
          <w:szCs w:val="22"/>
          <w:highlight w:val="none"/>
          <w:lang w:val="en-US" w:eastAsia="zh-CN"/>
        </w:rPr>
        <w:t>电站锅炉以外的锅炉寿命评价</w:t>
      </w:r>
      <w:r>
        <w:rPr>
          <w:rFonts w:hint="eastAsia"/>
          <w:color w:val="auto"/>
          <w:szCs w:val="22"/>
          <w:highlight w:val="none"/>
          <w:lang w:val="en-US" w:eastAsia="zh-CN"/>
        </w:rPr>
        <w:t>根据</w:t>
      </w:r>
      <w:r>
        <w:rPr>
          <w:rFonts w:hint="eastAsia"/>
          <w:strike w:val="0"/>
          <w:dstrike w:val="0"/>
          <w:color w:val="auto"/>
          <w:szCs w:val="22"/>
          <w:highlight w:val="none"/>
          <w:lang w:val="en-US" w:eastAsia="zh-CN"/>
        </w:rPr>
        <w:fldChar w:fldCharType="begin"/>
      </w:r>
      <w:r>
        <w:rPr>
          <w:rFonts w:hint="eastAsia"/>
          <w:strike w:val="0"/>
          <w:dstrike w:val="0"/>
          <w:color w:val="auto"/>
          <w:szCs w:val="22"/>
          <w:highlight w:val="none"/>
          <w:lang w:val="en-US" w:eastAsia="zh-CN"/>
        </w:rPr>
        <w:instrText xml:space="preserve"> HYPERLINK "http://www.bzfxw.com/soft/sort027/bzjsw/422168.html" \o "GBT16507《水管锅炉》 、GBT&lt;font color='red'&gt;16508&lt;/font&gt;《锅壳锅炉》学习与交流" \t "http://www.bzfxw.com/so/result/_blank" </w:instrText>
      </w:r>
      <w:r>
        <w:rPr>
          <w:rFonts w:hint="eastAsia"/>
          <w:strike w:val="0"/>
          <w:dstrike w:val="0"/>
          <w:color w:val="auto"/>
          <w:szCs w:val="22"/>
          <w:highlight w:val="none"/>
          <w:lang w:val="en-US" w:eastAsia="zh-CN"/>
        </w:rPr>
        <w:fldChar w:fldCharType="separate"/>
      </w:r>
      <w:r>
        <w:rPr>
          <w:rFonts w:hint="eastAsia"/>
          <w:strike w:val="0"/>
          <w:dstrike w:val="0"/>
          <w:color w:val="auto"/>
          <w:szCs w:val="22"/>
          <w:highlight w:val="none"/>
          <w:lang w:val="en-US" w:eastAsia="zh-CN"/>
        </w:rPr>
        <w:t>GB/T 16507和</w:t>
      </w:r>
      <w:r>
        <w:rPr>
          <w:rFonts w:hint="eastAsia"/>
          <w:strike w:val="0"/>
          <w:dstrike w:val="0"/>
          <w:color w:val="auto"/>
          <w:szCs w:val="22"/>
          <w:highlight w:val="none"/>
          <w:lang w:val="en-US" w:eastAsia="zh-CN"/>
        </w:rPr>
        <w:fldChar w:fldCharType="end"/>
      </w:r>
      <w:r>
        <w:rPr>
          <w:rFonts w:hint="eastAsia"/>
          <w:strike w:val="0"/>
          <w:dstrike w:val="0"/>
          <w:color w:val="auto"/>
          <w:szCs w:val="22"/>
          <w:highlight w:val="none"/>
          <w:lang w:val="en-US" w:eastAsia="zh-CN"/>
        </w:rPr>
        <w:t>GB/T 16508中关于锅炉的设计与强度计算的要求进行评价。</w:t>
      </w:r>
    </w:p>
    <w:p>
      <w:pPr>
        <w:pStyle w:val="59"/>
        <w:spacing w:line="288" w:lineRule="auto"/>
        <w:ind w:firstLine="0" w:firstLineChars="0"/>
        <w:rPr>
          <w:rFonts w:hint="eastAsia"/>
          <w:strike w:val="0"/>
          <w:dstrike w:val="0"/>
          <w:color w:val="auto"/>
          <w:szCs w:val="22"/>
          <w:highlight w:val="none"/>
          <w:lang w:val="en-US" w:eastAsia="zh-CN"/>
        </w:rPr>
      </w:pPr>
      <w:r>
        <w:rPr>
          <w:rFonts w:hint="eastAsia" w:ascii="黑体" w:eastAsia="黑体"/>
          <w:color w:val="auto"/>
          <w:szCs w:val="22"/>
          <w:highlight w:val="none"/>
          <w:lang w:val="en-US" w:eastAsia="zh-CN"/>
        </w:rPr>
        <w:t xml:space="preserve">7.3.2 </w:t>
      </w:r>
      <w:r>
        <w:rPr>
          <w:rFonts w:hint="eastAsia"/>
          <w:strike w:val="0"/>
          <w:dstrike w:val="0"/>
          <w:color w:val="auto"/>
          <w:szCs w:val="22"/>
          <w:highlight w:val="none"/>
          <w:lang w:val="en-US" w:eastAsia="zh-CN"/>
        </w:rPr>
        <w:t>电站锅炉寿命评价</w:t>
      </w:r>
    </w:p>
    <w:p>
      <w:pPr>
        <w:pStyle w:val="59"/>
        <w:spacing w:line="288" w:lineRule="auto"/>
        <w:ind w:firstLine="0" w:firstLineChars="0"/>
        <w:rPr>
          <w:rFonts w:hint="eastAsia"/>
          <w:color w:val="auto"/>
          <w:szCs w:val="22"/>
          <w:highlight w:val="none"/>
          <w:lang w:val="en-US" w:eastAsia="zh-CN"/>
        </w:rPr>
      </w:pPr>
      <w:r>
        <w:rPr>
          <w:rFonts w:hint="eastAsia" w:ascii="黑体" w:eastAsia="黑体"/>
          <w:color w:val="auto"/>
          <w:szCs w:val="22"/>
          <w:highlight w:val="none"/>
          <w:lang w:val="en-US" w:eastAsia="zh-CN"/>
        </w:rPr>
        <w:t xml:space="preserve">7.3.2.1 </w:t>
      </w:r>
      <w:r>
        <w:rPr>
          <w:rFonts w:hint="eastAsia"/>
          <w:color w:val="auto"/>
          <w:szCs w:val="22"/>
          <w:highlight w:val="none"/>
          <w:lang w:val="en-US" w:eastAsia="zh-CN"/>
        </w:rPr>
        <w:t>当电站锅炉承压部件运行时间超过20万小时或使用年限超过30年时，应进行锅炉寿命评价。</w:t>
      </w:r>
    </w:p>
    <w:p>
      <w:pPr>
        <w:pStyle w:val="59"/>
        <w:spacing w:line="288" w:lineRule="auto"/>
        <w:ind w:firstLine="0" w:firstLineChars="0"/>
        <w:rPr>
          <w:rFonts w:hint="eastAsia"/>
          <w:color w:val="auto"/>
          <w:szCs w:val="22"/>
          <w:highlight w:val="none"/>
          <w:lang w:val="en-US" w:eastAsia="zh-CN"/>
        </w:rPr>
      </w:pPr>
      <w:r>
        <w:rPr>
          <w:rFonts w:hint="eastAsia" w:ascii="黑体" w:eastAsia="黑体"/>
          <w:color w:val="auto"/>
          <w:szCs w:val="22"/>
          <w:highlight w:val="none"/>
          <w:lang w:val="en-US" w:eastAsia="zh-CN"/>
        </w:rPr>
        <w:t xml:space="preserve">7.3.2.2 </w:t>
      </w:r>
      <w:r>
        <w:rPr>
          <w:rFonts w:hint="eastAsia"/>
          <w:color w:val="auto"/>
          <w:szCs w:val="22"/>
          <w:highlight w:val="none"/>
          <w:lang w:val="en-US" w:eastAsia="zh-CN"/>
        </w:rPr>
        <w:t>电站锅炉承压部件运行时间未超过20万小时且使用年限未超过30年时，但使用单位有特殊要求的，可进行锅炉寿命评价。</w:t>
      </w:r>
    </w:p>
    <w:p>
      <w:pPr>
        <w:pStyle w:val="59"/>
        <w:spacing w:line="288" w:lineRule="auto"/>
        <w:ind w:firstLine="0" w:firstLineChars="0"/>
        <w:rPr>
          <w:rFonts w:hint="eastAsia"/>
          <w:strike w:val="0"/>
          <w:dstrike w:val="0"/>
          <w:color w:val="auto"/>
          <w:szCs w:val="22"/>
          <w:highlight w:val="none"/>
          <w:lang w:val="en-US" w:eastAsia="zh-CN"/>
        </w:rPr>
      </w:pPr>
      <w:r>
        <w:rPr>
          <w:rFonts w:hint="eastAsia" w:ascii="黑体" w:eastAsia="黑体"/>
          <w:color w:val="auto"/>
          <w:szCs w:val="22"/>
          <w:highlight w:val="none"/>
          <w:lang w:val="en-US" w:eastAsia="zh-CN"/>
        </w:rPr>
        <w:t xml:space="preserve">7.3.2.3 </w:t>
      </w:r>
      <w:r>
        <w:rPr>
          <w:rFonts w:hint="eastAsia"/>
          <w:color w:val="auto"/>
          <w:szCs w:val="22"/>
          <w:highlight w:val="none"/>
          <w:lang w:val="en-US" w:eastAsia="zh-CN"/>
        </w:rPr>
        <w:t>存在以下特殊情况时，应</w:t>
      </w:r>
      <w:r>
        <w:rPr>
          <w:rFonts w:hint="eastAsia"/>
          <w:strike w:val="0"/>
          <w:dstrike w:val="0"/>
          <w:color w:val="auto"/>
          <w:szCs w:val="22"/>
          <w:highlight w:val="none"/>
          <w:lang w:val="en-US" w:eastAsia="zh-CN"/>
        </w:rPr>
        <w:t>对部件进行评价。</w:t>
      </w:r>
    </w:p>
    <w:p>
      <w:pPr>
        <w:pStyle w:val="59"/>
        <w:spacing w:line="288" w:lineRule="auto"/>
        <w:ind w:firstLine="0" w:firstLineChars="0"/>
        <w:rPr>
          <w:rFonts w:hint="default"/>
          <w:color w:val="auto"/>
          <w:szCs w:val="22"/>
          <w:highlight w:val="none"/>
          <w:lang w:val="en-US" w:eastAsia="zh-CN"/>
        </w:rPr>
      </w:pPr>
      <w:r>
        <w:rPr>
          <w:rFonts w:hint="eastAsia" w:ascii="黑体" w:eastAsia="黑体"/>
          <w:color w:val="auto"/>
          <w:szCs w:val="22"/>
          <w:highlight w:val="none"/>
          <w:lang w:val="en-US" w:eastAsia="zh-CN"/>
        </w:rPr>
        <w:t xml:space="preserve">7.3.2.3.1 </w:t>
      </w:r>
      <w:r>
        <w:rPr>
          <w:rFonts w:hint="eastAsia"/>
          <w:color w:val="auto"/>
          <w:szCs w:val="22"/>
          <w:highlight w:val="none"/>
          <w:lang w:val="en-US" w:eastAsia="zh-CN"/>
        </w:rPr>
        <w:t>对于曾提高参数（</w:t>
      </w:r>
      <w:r>
        <w:rPr>
          <w:rFonts w:hint="default"/>
          <w:color w:val="auto"/>
          <w:szCs w:val="22"/>
          <w:highlight w:val="none"/>
          <w:lang w:val="en-US" w:eastAsia="zh-CN"/>
        </w:rPr>
        <w:t>相对于设计参数）运行的电站锅炉主要承压部件、以及采用高合金马氏体钢的主蒸汽管道、再热蒸汽管道（热段）、集箱等部件，进行寿命评</w:t>
      </w:r>
      <w:r>
        <w:rPr>
          <w:rFonts w:hint="eastAsia"/>
          <w:color w:val="auto"/>
          <w:szCs w:val="22"/>
          <w:highlight w:val="none"/>
          <w:lang w:val="en-US" w:eastAsia="zh-CN"/>
        </w:rPr>
        <w:t>价</w:t>
      </w:r>
      <w:r>
        <w:rPr>
          <w:rFonts w:hint="default"/>
          <w:color w:val="auto"/>
          <w:szCs w:val="22"/>
          <w:highlight w:val="none"/>
          <w:lang w:val="en-US" w:eastAsia="zh-CN"/>
        </w:rPr>
        <w:t>的运行时间应适当提前。</w:t>
      </w:r>
    </w:p>
    <w:p>
      <w:pPr>
        <w:pStyle w:val="59"/>
        <w:spacing w:line="288" w:lineRule="auto"/>
        <w:ind w:firstLine="0" w:firstLineChars="0"/>
        <w:rPr>
          <w:rFonts w:hint="default"/>
          <w:color w:val="auto"/>
          <w:szCs w:val="22"/>
          <w:highlight w:val="none"/>
          <w:lang w:val="en-US" w:eastAsia="zh-CN"/>
        </w:rPr>
      </w:pPr>
      <w:r>
        <w:rPr>
          <w:rFonts w:hint="eastAsia" w:ascii="黑体" w:eastAsia="黑体"/>
          <w:color w:val="auto"/>
          <w:szCs w:val="22"/>
          <w:highlight w:val="none"/>
          <w:lang w:val="en-US" w:eastAsia="zh-CN"/>
        </w:rPr>
        <w:t xml:space="preserve">7.3.2.3.2 </w:t>
      </w:r>
      <w:r>
        <w:rPr>
          <w:rFonts w:hint="eastAsia"/>
          <w:color w:val="auto"/>
          <w:szCs w:val="22"/>
          <w:highlight w:val="none"/>
          <w:lang w:val="en-US" w:eastAsia="zh-CN"/>
        </w:rPr>
        <w:t>对超过规定允许启停次数或启停频繁以及参与调峰的锅炉，</w:t>
      </w:r>
      <w:r>
        <w:rPr>
          <w:rFonts w:hint="default"/>
          <w:color w:val="auto"/>
          <w:szCs w:val="22"/>
          <w:highlight w:val="none"/>
          <w:lang w:val="en-US" w:eastAsia="zh-CN"/>
        </w:rPr>
        <w:t>应对锅筒、汽水分离器进行低周疲劳寿命评</w:t>
      </w:r>
      <w:r>
        <w:rPr>
          <w:rFonts w:hint="eastAsia"/>
          <w:color w:val="auto"/>
          <w:szCs w:val="22"/>
          <w:highlight w:val="none"/>
          <w:lang w:val="en-US" w:eastAsia="zh-CN"/>
        </w:rPr>
        <w:t>价</w:t>
      </w:r>
      <w:r>
        <w:rPr>
          <w:rFonts w:hint="default"/>
          <w:color w:val="auto"/>
          <w:szCs w:val="22"/>
          <w:highlight w:val="none"/>
          <w:lang w:val="en-US" w:eastAsia="zh-CN"/>
        </w:rPr>
        <w:t>，对高温蒸汽管道和高温集箱进行疲劳蠕变寿命评</w:t>
      </w:r>
      <w:r>
        <w:rPr>
          <w:rFonts w:hint="eastAsia"/>
          <w:color w:val="auto"/>
          <w:szCs w:val="22"/>
          <w:highlight w:val="none"/>
          <w:lang w:val="en-US" w:eastAsia="zh-CN"/>
        </w:rPr>
        <w:t>价</w:t>
      </w:r>
      <w:r>
        <w:rPr>
          <w:rFonts w:hint="default"/>
          <w:color w:val="auto"/>
          <w:szCs w:val="22"/>
          <w:highlight w:val="none"/>
          <w:lang w:val="en-US" w:eastAsia="zh-CN"/>
        </w:rPr>
        <w:t>。</w:t>
      </w:r>
    </w:p>
    <w:p>
      <w:pPr>
        <w:pStyle w:val="59"/>
        <w:spacing w:line="288" w:lineRule="auto"/>
        <w:ind w:firstLine="0" w:firstLineChars="0"/>
        <w:rPr>
          <w:rFonts w:hint="default"/>
          <w:color w:val="auto"/>
          <w:szCs w:val="22"/>
          <w:highlight w:val="none"/>
          <w:lang w:val="en-US" w:eastAsia="zh-CN"/>
        </w:rPr>
      </w:pPr>
      <w:r>
        <w:rPr>
          <w:rFonts w:hint="eastAsia" w:ascii="黑体" w:eastAsia="黑体"/>
          <w:color w:val="auto"/>
          <w:szCs w:val="22"/>
          <w:highlight w:val="none"/>
          <w:lang w:val="en-US" w:eastAsia="zh-CN"/>
        </w:rPr>
        <w:t xml:space="preserve">7.3.2.3.3 </w:t>
      </w:r>
      <w:r>
        <w:rPr>
          <w:rFonts w:hint="eastAsia"/>
          <w:color w:val="auto"/>
          <w:szCs w:val="22"/>
          <w:highlight w:val="none"/>
          <w:lang w:val="en-US" w:eastAsia="zh-CN"/>
        </w:rPr>
        <w:t>主蒸汽管道、</w:t>
      </w:r>
      <w:r>
        <w:rPr>
          <w:rFonts w:hint="default"/>
          <w:color w:val="auto"/>
          <w:szCs w:val="22"/>
          <w:highlight w:val="none"/>
          <w:lang w:val="en-US" w:eastAsia="zh-CN"/>
        </w:rPr>
        <w:t xml:space="preserve">再热蒸汽管道（热段）、锅筒、集箱的实测壁厚小于按照 </w:t>
      </w:r>
      <w:r>
        <w:rPr>
          <w:rFonts w:hint="eastAsia"/>
          <w:color w:val="auto"/>
          <w:szCs w:val="22"/>
          <w:highlight w:val="none"/>
          <w:lang w:val="en-US" w:eastAsia="zh-CN"/>
        </w:rPr>
        <w:t>GB/T 16507.4</w:t>
      </w:r>
      <w:r>
        <w:rPr>
          <w:rFonts w:hint="default"/>
          <w:color w:val="auto"/>
          <w:szCs w:val="22"/>
          <w:highlight w:val="none"/>
          <w:lang w:val="en-US" w:eastAsia="zh-CN"/>
        </w:rPr>
        <w:t>计算得到的理论计算壁厚时。</w:t>
      </w:r>
    </w:p>
    <w:p>
      <w:pPr>
        <w:pStyle w:val="59"/>
        <w:spacing w:line="288" w:lineRule="auto"/>
        <w:ind w:firstLine="0" w:firstLineChars="0"/>
        <w:rPr>
          <w:rFonts w:hint="default"/>
          <w:color w:val="auto"/>
          <w:szCs w:val="22"/>
          <w:highlight w:val="none"/>
          <w:lang w:val="en-US" w:eastAsia="zh-CN"/>
        </w:rPr>
      </w:pPr>
      <w:r>
        <w:rPr>
          <w:rFonts w:hint="eastAsia" w:ascii="黑体" w:eastAsia="黑体"/>
          <w:color w:val="auto"/>
          <w:szCs w:val="22"/>
          <w:highlight w:val="none"/>
          <w:lang w:val="en-US" w:eastAsia="zh-CN"/>
        </w:rPr>
        <w:t xml:space="preserve">7.3.2.3.4 </w:t>
      </w:r>
      <w:r>
        <w:rPr>
          <w:rFonts w:hint="default"/>
          <w:color w:val="auto"/>
          <w:szCs w:val="22"/>
          <w:highlight w:val="none"/>
          <w:lang w:val="en-US" w:eastAsia="zh-CN"/>
        </w:rPr>
        <w:t>主蒸汽管道、再热蒸汽管道（热段）、高温集箱存在以下情况之一时</w:t>
      </w:r>
      <w:r>
        <w:rPr>
          <w:rFonts w:hint="eastAsia"/>
          <w:color w:val="auto"/>
          <w:szCs w:val="22"/>
          <w:highlight w:val="none"/>
          <w:lang w:val="en-US" w:eastAsia="zh-CN"/>
        </w:rPr>
        <w:t>：</w:t>
      </w:r>
    </w:p>
    <w:p>
      <w:pPr>
        <w:pStyle w:val="59"/>
        <w:spacing w:line="288" w:lineRule="auto"/>
        <w:ind w:firstLine="210" w:firstLineChars="100"/>
        <w:rPr>
          <w:rFonts w:hint="default"/>
          <w:color w:val="auto"/>
          <w:szCs w:val="22"/>
          <w:highlight w:val="none"/>
          <w:lang w:val="en-US" w:eastAsia="zh-CN"/>
        </w:rPr>
      </w:pPr>
      <w:r>
        <w:rPr>
          <w:rFonts w:hint="eastAsia"/>
          <w:color w:val="auto"/>
          <w:szCs w:val="22"/>
          <w:highlight w:val="none"/>
          <w:lang w:val="en-US" w:eastAsia="zh-CN"/>
        </w:rPr>
        <w:t>a）</w:t>
      </w:r>
      <w:r>
        <w:rPr>
          <w:rFonts w:hint="default"/>
          <w:color w:val="auto"/>
          <w:szCs w:val="22"/>
          <w:highlight w:val="none"/>
          <w:lang w:val="en-US" w:eastAsia="zh-CN"/>
        </w:rPr>
        <w:t xml:space="preserve">组织老化（如球化、石墨化以及析出相种类、尺寸、分布异常等）程度较为严重； </w:t>
      </w:r>
    </w:p>
    <w:p>
      <w:pPr>
        <w:pStyle w:val="59"/>
        <w:spacing w:line="288" w:lineRule="auto"/>
        <w:ind w:left="0" w:leftChars="0" w:firstLine="210" w:firstLineChars="100"/>
        <w:rPr>
          <w:rFonts w:hint="default"/>
          <w:color w:val="auto"/>
          <w:szCs w:val="22"/>
          <w:highlight w:val="none"/>
          <w:lang w:val="en-US" w:eastAsia="zh-CN"/>
        </w:rPr>
      </w:pPr>
      <w:r>
        <w:rPr>
          <w:rFonts w:hint="eastAsia"/>
          <w:color w:val="auto"/>
          <w:szCs w:val="22"/>
          <w:highlight w:val="none"/>
          <w:lang w:val="en-US" w:eastAsia="zh-CN"/>
        </w:rPr>
        <w:t>b）</w:t>
      </w:r>
      <w:r>
        <w:rPr>
          <w:rFonts w:hint="default"/>
          <w:color w:val="auto"/>
          <w:szCs w:val="22"/>
          <w:highlight w:val="none"/>
          <w:lang w:val="en-US" w:eastAsia="zh-CN"/>
        </w:rPr>
        <w:t>蠕变相对变形量或蠕变速率较大；</w:t>
      </w:r>
    </w:p>
    <w:p>
      <w:pPr>
        <w:pStyle w:val="59"/>
        <w:spacing w:line="288" w:lineRule="auto"/>
        <w:ind w:firstLine="210" w:firstLineChars="100"/>
        <w:rPr>
          <w:rFonts w:hint="default"/>
          <w:color w:val="auto"/>
          <w:szCs w:val="22"/>
          <w:highlight w:val="none"/>
          <w:lang w:val="en-US" w:eastAsia="zh-CN"/>
        </w:rPr>
      </w:pPr>
      <w:r>
        <w:rPr>
          <w:rFonts w:hint="eastAsia"/>
          <w:color w:val="auto"/>
          <w:szCs w:val="22"/>
          <w:highlight w:val="none"/>
          <w:lang w:val="en-US" w:eastAsia="zh-CN"/>
        </w:rPr>
        <w:t>c）</w:t>
      </w:r>
      <w:r>
        <w:rPr>
          <w:rFonts w:hint="default"/>
          <w:color w:val="auto"/>
          <w:szCs w:val="22"/>
          <w:highlight w:val="none"/>
          <w:lang w:val="en-US" w:eastAsia="zh-CN"/>
        </w:rPr>
        <w:t>硬度异常。</w:t>
      </w:r>
    </w:p>
    <w:p>
      <w:pPr>
        <w:pStyle w:val="59"/>
        <w:spacing w:line="288" w:lineRule="auto"/>
        <w:ind w:left="0" w:leftChars="0" w:firstLine="0" w:firstLineChars="0"/>
        <w:rPr>
          <w:rFonts w:hint="eastAsia"/>
          <w:color w:val="auto"/>
          <w:szCs w:val="22"/>
          <w:highlight w:val="none"/>
          <w:lang w:val="en-US" w:eastAsia="zh-CN"/>
        </w:rPr>
      </w:pPr>
      <w:r>
        <w:rPr>
          <w:rFonts w:hint="eastAsia" w:ascii="黑体" w:eastAsia="黑体"/>
          <w:color w:val="auto"/>
          <w:szCs w:val="22"/>
          <w:highlight w:val="none"/>
          <w:lang w:val="en-US" w:eastAsia="zh-CN"/>
        </w:rPr>
        <w:t xml:space="preserve">7.3.2.3.5 </w:t>
      </w:r>
      <w:r>
        <w:rPr>
          <w:rFonts w:hint="eastAsia"/>
          <w:color w:val="auto"/>
          <w:szCs w:val="22"/>
          <w:highlight w:val="none"/>
          <w:lang w:val="en-US" w:eastAsia="zh-CN"/>
        </w:rPr>
        <w:t>对腐蚀、</w:t>
      </w:r>
      <w:r>
        <w:rPr>
          <w:rFonts w:hint="default"/>
          <w:color w:val="auto"/>
          <w:szCs w:val="22"/>
          <w:highlight w:val="none"/>
          <w:lang w:val="en-US" w:eastAsia="zh-CN"/>
        </w:rPr>
        <w:t>磨损速率较大的受热面管子</w:t>
      </w:r>
      <w:r>
        <w:rPr>
          <w:rFonts w:hint="eastAsia"/>
          <w:color w:val="auto"/>
          <w:szCs w:val="22"/>
          <w:highlight w:val="none"/>
          <w:lang w:val="en-US" w:eastAsia="zh-CN"/>
        </w:rPr>
        <w:t>。</w:t>
      </w:r>
    </w:p>
    <w:p>
      <w:pPr>
        <w:pStyle w:val="59"/>
        <w:spacing w:line="288" w:lineRule="auto"/>
        <w:ind w:left="0" w:leftChars="0" w:firstLine="0" w:firstLineChars="0"/>
        <w:rPr>
          <w:rFonts w:hint="eastAsia" w:ascii="黑体" w:eastAsia="黑体"/>
          <w:color w:val="auto"/>
          <w:szCs w:val="22"/>
          <w:highlight w:val="none"/>
          <w:lang w:val="en-US" w:eastAsia="zh-CN"/>
        </w:rPr>
      </w:pPr>
      <w:r>
        <w:rPr>
          <w:rFonts w:hint="eastAsia" w:ascii="黑体" w:eastAsia="黑体"/>
          <w:color w:val="auto"/>
          <w:szCs w:val="22"/>
          <w:highlight w:val="none"/>
          <w:lang w:val="en-US" w:eastAsia="zh-CN"/>
        </w:rPr>
        <w:t xml:space="preserve">7.3.2.3.6 </w:t>
      </w:r>
      <w:r>
        <w:rPr>
          <w:rFonts w:hint="default"/>
          <w:color w:val="auto"/>
          <w:szCs w:val="22"/>
          <w:highlight w:val="none"/>
          <w:lang w:val="en-US" w:eastAsia="zh-CN"/>
        </w:rPr>
        <w:t>根据电站锅炉承压部件的检验结果，检验人员或使用单位认为有必要进行寿命评</w:t>
      </w:r>
      <w:r>
        <w:rPr>
          <w:rFonts w:hint="eastAsia"/>
          <w:color w:val="auto"/>
          <w:szCs w:val="22"/>
          <w:highlight w:val="none"/>
          <w:lang w:val="en-US" w:eastAsia="zh-CN"/>
        </w:rPr>
        <w:t>价</w:t>
      </w:r>
      <w:r>
        <w:rPr>
          <w:rFonts w:hint="default"/>
          <w:color w:val="auto"/>
          <w:szCs w:val="22"/>
          <w:highlight w:val="none"/>
          <w:lang w:val="en-US" w:eastAsia="zh-CN"/>
        </w:rPr>
        <w:t>时</w:t>
      </w:r>
      <w:r>
        <w:rPr>
          <w:rFonts w:hint="eastAsia"/>
          <w:color w:val="auto"/>
          <w:szCs w:val="22"/>
          <w:highlight w:val="none"/>
          <w:lang w:val="en-US" w:eastAsia="zh-CN"/>
        </w:rPr>
        <w:t>。</w:t>
      </w:r>
    </w:p>
    <w:p>
      <w:pPr>
        <w:pStyle w:val="59"/>
        <w:spacing w:line="288" w:lineRule="auto"/>
        <w:ind w:firstLine="0" w:firstLineChars="0"/>
        <w:rPr>
          <w:rFonts w:hint="eastAsia"/>
          <w:strike w:val="0"/>
          <w:dstrike w:val="0"/>
          <w:color w:val="auto"/>
          <w:szCs w:val="22"/>
          <w:highlight w:val="none"/>
          <w:lang w:val="en-US" w:eastAsia="zh-CN"/>
        </w:rPr>
      </w:pPr>
      <w:r>
        <w:rPr>
          <w:rFonts w:hint="eastAsia" w:ascii="黑体" w:eastAsia="黑体"/>
          <w:color w:val="auto"/>
          <w:szCs w:val="22"/>
          <w:highlight w:val="none"/>
          <w:lang w:val="en-US" w:eastAsia="zh-CN"/>
        </w:rPr>
        <w:t xml:space="preserve">7.3.3 </w:t>
      </w:r>
      <w:r>
        <w:rPr>
          <w:rFonts w:hint="eastAsia"/>
          <w:strike w:val="0"/>
          <w:dstrike w:val="0"/>
          <w:color w:val="auto"/>
          <w:szCs w:val="22"/>
          <w:highlight w:val="none"/>
          <w:lang w:val="en-US" w:eastAsia="zh-CN"/>
        </w:rPr>
        <w:t>电站锅炉以外的锅炉寿命评价</w:t>
      </w:r>
    </w:p>
    <w:p>
      <w:pPr>
        <w:pStyle w:val="59"/>
        <w:spacing w:line="288" w:lineRule="auto"/>
        <w:ind w:firstLine="420" w:firstLineChars="200"/>
        <w:rPr>
          <w:rFonts w:hint="eastAsia"/>
          <w:strike w:val="0"/>
          <w:dstrike w:val="0"/>
          <w:color w:val="auto"/>
          <w:szCs w:val="22"/>
          <w:highlight w:val="none"/>
          <w:lang w:val="en-US" w:eastAsia="zh-CN"/>
        </w:rPr>
      </w:pPr>
      <w:r>
        <w:rPr>
          <w:rFonts w:hint="eastAsia"/>
          <w:color w:val="auto"/>
          <w:szCs w:val="22"/>
          <w:highlight w:val="none"/>
          <w:lang w:val="en-US" w:eastAsia="zh-CN"/>
        </w:rPr>
        <w:t xml:space="preserve"> 当锅炉使用年限超过20年或使用单位有特殊要求时，需对主要受压部件进行壁厚测量，根据</w:t>
      </w:r>
      <w:r>
        <w:rPr>
          <w:rFonts w:hint="eastAsia"/>
          <w:strike w:val="0"/>
          <w:dstrike w:val="0"/>
          <w:color w:val="auto"/>
          <w:szCs w:val="22"/>
          <w:highlight w:val="none"/>
          <w:lang w:val="en-US" w:eastAsia="zh-CN"/>
        </w:rPr>
        <w:fldChar w:fldCharType="begin"/>
      </w:r>
      <w:r>
        <w:rPr>
          <w:rFonts w:hint="eastAsia"/>
          <w:strike w:val="0"/>
          <w:dstrike w:val="0"/>
          <w:color w:val="auto"/>
          <w:szCs w:val="22"/>
          <w:highlight w:val="none"/>
          <w:lang w:val="en-US" w:eastAsia="zh-CN"/>
        </w:rPr>
        <w:instrText xml:space="preserve"> HYPERLINK "http://www.bzfxw.com/soft/sort027/bzjsw/422168.html" \o "GBT16507《水管锅炉》 、GBT&lt;font color='red'&gt;16508&lt;/font&gt;《锅壳锅炉》学习与交流" \t "http://www.bzfxw.com/so/result/_blank" </w:instrText>
      </w:r>
      <w:r>
        <w:rPr>
          <w:rFonts w:hint="eastAsia"/>
          <w:strike w:val="0"/>
          <w:dstrike w:val="0"/>
          <w:color w:val="auto"/>
          <w:szCs w:val="22"/>
          <w:highlight w:val="none"/>
          <w:lang w:val="en-US" w:eastAsia="zh-CN"/>
        </w:rPr>
        <w:fldChar w:fldCharType="separate"/>
      </w:r>
      <w:r>
        <w:rPr>
          <w:rFonts w:hint="eastAsia"/>
          <w:strike w:val="0"/>
          <w:dstrike w:val="0"/>
          <w:color w:val="auto"/>
          <w:szCs w:val="22"/>
          <w:highlight w:val="none"/>
          <w:lang w:val="en-US" w:eastAsia="zh-CN"/>
        </w:rPr>
        <w:t>GB/T 16507和</w:t>
      </w:r>
      <w:r>
        <w:rPr>
          <w:rFonts w:hint="eastAsia"/>
          <w:strike w:val="0"/>
          <w:dstrike w:val="0"/>
          <w:color w:val="auto"/>
          <w:szCs w:val="22"/>
          <w:highlight w:val="none"/>
          <w:lang w:val="en-US" w:eastAsia="zh-CN"/>
        </w:rPr>
        <w:fldChar w:fldCharType="end"/>
      </w:r>
      <w:r>
        <w:rPr>
          <w:rFonts w:hint="eastAsia"/>
          <w:strike w:val="0"/>
          <w:dstrike w:val="0"/>
          <w:color w:val="auto"/>
          <w:szCs w:val="22"/>
          <w:highlight w:val="none"/>
          <w:lang w:val="en-US" w:eastAsia="zh-CN"/>
        </w:rPr>
        <w:t>GB/T 16508中关于锅炉的设计与强度计算的要求进行强度校核，并对剩余寿命进行评价。</w:t>
      </w:r>
    </w:p>
    <w:p>
      <w:pPr>
        <w:pStyle w:val="59"/>
        <w:spacing w:line="288" w:lineRule="auto"/>
        <w:ind w:firstLine="0" w:firstLineChars="0"/>
        <w:rPr>
          <w:rFonts w:hint="eastAsia"/>
          <w:color w:val="auto"/>
          <w:szCs w:val="22"/>
          <w:highlight w:val="none"/>
          <w:lang w:val="en-US" w:eastAsia="zh-CN"/>
        </w:rPr>
      </w:pPr>
      <w:r>
        <w:rPr>
          <w:rFonts w:hint="eastAsia" w:ascii="黑体" w:eastAsia="黑体"/>
          <w:color w:val="auto"/>
          <w:szCs w:val="22"/>
          <w:highlight w:val="none"/>
          <w:lang w:val="en-US" w:eastAsia="zh-CN"/>
        </w:rPr>
        <w:t xml:space="preserve">7.3.4 </w:t>
      </w:r>
      <w:r>
        <w:rPr>
          <w:rFonts w:hint="eastAsia"/>
          <w:color w:val="auto"/>
          <w:szCs w:val="22"/>
          <w:highlight w:val="none"/>
          <w:lang w:val="en-US" w:eastAsia="zh-CN"/>
        </w:rPr>
        <w:t>寿命评价结论为“寿命未结束”和“寿命结束”两种。</w:t>
      </w:r>
    </w:p>
    <w:p>
      <w:pPr>
        <w:pStyle w:val="59"/>
        <w:spacing w:line="288" w:lineRule="auto"/>
        <w:ind w:firstLine="0" w:firstLineChars="0"/>
        <w:rPr>
          <w:rFonts w:hint="eastAsia"/>
          <w:color w:val="auto"/>
          <w:szCs w:val="22"/>
          <w:highlight w:val="none"/>
          <w:lang w:val="en-US" w:eastAsia="zh-CN"/>
        </w:rPr>
      </w:pPr>
      <w:r>
        <w:rPr>
          <w:rFonts w:hint="eastAsia" w:ascii="黑体" w:eastAsia="黑体"/>
          <w:color w:val="auto"/>
          <w:szCs w:val="22"/>
          <w:highlight w:val="none"/>
          <w:lang w:val="en-US" w:eastAsia="zh-CN"/>
        </w:rPr>
        <w:t xml:space="preserve">7.3.4.1 </w:t>
      </w:r>
      <w:r>
        <w:rPr>
          <w:rFonts w:hint="eastAsia"/>
          <w:color w:val="auto"/>
          <w:szCs w:val="22"/>
          <w:highlight w:val="none"/>
          <w:lang w:val="en-US" w:eastAsia="zh-CN"/>
        </w:rPr>
        <w:t>对于电站锅炉，若评价的剩余寿命满足下一个检验周期的要求，则</w:t>
      </w:r>
      <w:r>
        <w:rPr>
          <w:rFonts w:hint="eastAsia"/>
          <w:strike w:val="0"/>
          <w:dstrike w:val="0"/>
          <w:color w:val="auto"/>
          <w:szCs w:val="22"/>
          <w:highlight w:val="none"/>
          <w:lang w:val="en-US" w:eastAsia="zh-CN"/>
        </w:rPr>
        <w:t>寿命评价结论为</w:t>
      </w:r>
      <w:r>
        <w:rPr>
          <w:rFonts w:hint="eastAsia"/>
          <w:color w:val="auto"/>
          <w:szCs w:val="22"/>
          <w:highlight w:val="none"/>
          <w:lang w:val="en-US" w:eastAsia="zh-CN"/>
        </w:rPr>
        <w:t>“寿命未结束”。若评价的剩余寿命不满足下一个检验周期的要求，则</w:t>
      </w:r>
      <w:r>
        <w:rPr>
          <w:rFonts w:hint="eastAsia"/>
          <w:strike w:val="0"/>
          <w:dstrike w:val="0"/>
          <w:color w:val="auto"/>
          <w:szCs w:val="22"/>
          <w:highlight w:val="none"/>
          <w:lang w:val="en-US" w:eastAsia="zh-CN"/>
        </w:rPr>
        <w:t>寿命评价结论为</w:t>
      </w:r>
      <w:r>
        <w:rPr>
          <w:rFonts w:hint="eastAsia"/>
          <w:color w:val="auto"/>
          <w:szCs w:val="22"/>
          <w:highlight w:val="none"/>
          <w:lang w:val="en-US" w:eastAsia="zh-CN"/>
        </w:rPr>
        <w:t>“寿命结束”。</w:t>
      </w:r>
    </w:p>
    <w:p>
      <w:pPr>
        <w:pStyle w:val="59"/>
        <w:spacing w:line="288" w:lineRule="auto"/>
        <w:ind w:firstLine="0" w:firstLineChars="0"/>
        <w:rPr>
          <w:rFonts w:hint="eastAsia"/>
          <w:strike w:val="0"/>
          <w:dstrike w:val="0"/>
          <w:color w:val="auto"/>
          <w:szCs w:val="22"/>
          <w:highlight w:val="none"/>
          <w:lang w:val="en-US" w:eastAsia="zh-CN"/>
        </w:rPr>
      </w:pPr>
      <w:r>
        <w:rPr>
          <w:rFonts w:hint="eastAsia" w:ascii="黑体" w:eastAsia="黑体"/>
          <w:color w:val="auto"/>
          <w:szCs w:val="22"/>
          <w:highlight w:val="none"/>
          <w:lang w:val="en-US" w:eastAsia="zh-CN"/>
        </w:rPr>
        <w:t xml:space="preserve">7.3.4.2 </w:t>
      </w:r>
      <w:r>
        <w:rPr>
          <w:rFonts w:hint="eastAsia"/>
          <w:color w:val="auto"/>
          <w:szCs w:val="22"/>
          <w:highlight w:val="none"/>
          <w:lang w:val="en-US" w:eastAsia="zh-CN"/>
        </w:rPr>
        <w:t>对于电站锅炉以外的锅炉，</w:t>
      </w:r>
      <w:r>
        <w:rPr>
          <w:rFonts w:hint="eastAsia"/>
          <w:strike w:val="0"/>
          <w:dstrike w:val="0"/>
          <w:color w:val="auto"/>
          <w:szCs w:val="22"/>
          <w:highlight w:val="none"/>
          <w:lang w:val="en-US" w:eastAsia="zh-CN"/>
        </w:rPr>
        <w:t>若</w:t>
      </w:r>
      <w:r>
        <w:rPr>
          <w:rFonts w:hint="eastAsia"/>
          <w:color w:val="auto"/>
          <w:szCs w:val="22"/>
          <w:highlight w:val="none"/>
          <w:lang w:val="en-US" w:eastAsia="zh-CN"/>
        </w:rPr>
        <w:t>评价的剩余寿命</w:t>
      </w:r>
      <w:r>
        <w:rPr>
          <w:rFonts w:hint="eastAsia"/>
          <w:strike w:val="0"/>
          <w:dstrike w:val="0"/>
          <w:color w:val="auto"/>
          <w:szCs w:val="22"/>
          <w:highlight w:val="none"/>
          <w:lang w:val="en-US" w:eastAsia="zh-CN"/>
        </w:rPr>
        <w:t>满足</w:t>
      </w:r>
      <w:r>
        <w:rPr>
          <w:rFonts w:hint="eastAsia"/>
          <w:color w:val="auto"/>
          <w:szCs w:val="22"/>
          <w:highlight w:val="none"/>
          <w:lang w:val="en-US" w:eastAsia="zh-CN"/>
        </w:rPr>
        <w:t>下一个检验周期的要求</w:t>
      </w:r>
      <w:r>
        <w:rPr>
          <w:rFonts w:hint="eastAsia"/>
          <w:strike w:val="0"/>
          <w:dstrike w:val="0"/>
          <w:color w:val="auto"/>
          <w:szCs w:val="22"/>
          <w:highlight w:val="none"/>
          <w:lang w:val="en-US" w:eastAsia="zh-CN"/>
        </w:rPr>
        <w:t>，寿命评价结论为</w:t>
      </w:r>
      <w:r>
        <w:rPr>
          <w:rFonts w:hint="eastAsia"/>
          <w:color w:val="auto"/>
          <w:szCs w:val="22"/>
          <w:highlight w:val="none"/>
          <w:lang w:val="en-US" w:eastAsia="zh-CN"/>
        </w:rPr>
        <w:t>“寿命未结束”</w:t>
      </w:r>
      <w:r>
        <w:rPr>
          <w:rFonts w:hint="eastAsia"/>
          <w:strike w:val="0"/>
          <w:dstrike w:val="0"/>
          <w:color w:val="auto"/>
          <w:szCs w:val="22"/>
          <w:highlight w:val="none"/>
          <w:lang w:val="en-US" w:eastAsia="zh-CN"/>
        </w:rPr>
        <w:t>；</w:t>
      </w:r>
      <w:r>
        <w:rPr>
          <w:rFonts w:hint="eastAsia"/>
          <w:color w:val="auto"/>
          <w:szCs w:val="22"/>
          <w:highlight w:val="none"/>
          <w:lang w:val="en-US" w:eastAsia="zh-CN"/>
        </w:rPr>
        <w:t>若评价的剩余寿命不满足下一个检验周期的要求</w:t>
      </w:r>
      <w:r>
        <w:rPr>
          <w:rFonts w:hint="eastAsia"/>
          <w:strike w:val="0"/>
          <w:dstrike w:val="0"/>
          <w:color w:val="auto"/>
          <w:szCs w:val="22"/>
          <w:highlight w:val="none"/>
          <w:lang w:val="en-US" w:eastAsia="zh-CN"/>
        </w:rPr>
        <w:t>，寿命评价结论为</w:t>
      </w:r>
      <w:r>
        <w:rPr>
          <w:rFonts w:hint="eastAsia"/>
          <w:color w:val="auto"/>
          <w:szCs w:val="22"/>
          <w:highlight w:val="none"/>
          <w:lang w:val="en-US" w:eastAsia="zh-CN"/>
        </w:rPr>
        <w:t>“寿命结束”。</w:t>
      </w:r>
    </w:p>
    <w:p>
      <w:pPr>
        <w:pStyle w:val="59"/>
        <w:spacing w:line="288" w:lineRule="auto"/>
        <w:ind w:firstLine="0" w:firstLineChars="0"/>
        <w:rPr>
          <w:rFonts w:hint="eastAsia"/>
          <w:color w:val="auto"/>
          <w:szCs w:val="22"/>
          <w:highlight w:val="magenta"/>
          <w:lang w:val="en-US" w:eastAsia="zh-CN"/>
        </w:rPr>
      </w:pPr>
    </w:p>
    <w:p>
      <w:pPr>
        <w:pStyle w:val="59"/>
        <w:spacing w:line="288" w:lineRule="auto"/>
        <w:ind w:firstLine="0" w:firstLineChars="0"/>
        <w:rPr>
          <w:rFonts w:hint="eastAsia" w:ascii="黑体" w:eastAsia="黑体"/>
          <w:color w:val="auto"/>
          <w:szCs w:val="22"/>
          <w:highlight w:val="none"/>
          <w:lang w:val="en-US" w:eastAsia="zh-CN"/>
        </w:rPr>
      </w:pPr>
      <w:r>
        <w:rPr>
          <w:rFonts w:hint="eastAsia" w:ascii="黑体" w:eastAsia="黑体"/>
          <w:color w:val="auto"/>
          <w:szCs w:val="22"/>
          <w:highlight w:val="none"/>
          <w:lang w:val="en-US" w:eastAsia="zh-CN"/>
        </w:rPr>
        <w:t>7.4 节能评价</w:t>
      </w:r>
    </w:p>
    <w:p>
      <w:pPr>
        <w:pStyle w:val="59"/>
        <w:spacing w:line="288" w:lineRule="auto"/>
        <w:ind w:firstLine="0" w:firstLineChars="0"/>
        <w:rPr>
          <w:rFonts w:hint="eastAsia" w:ascii="黑体" w:eastAsia="黑体"/>
          <w:color w:val="auto"/>
          <w:szCs w:val="22"/>
          <w:highlight w:val="none"/>
          <w:lang w:val="en-US" w:eastAsia="zh-CN"/>
        </w:rPr>
      </w:pPr>
    </w:p>
    <w:p>
      <w:pPr>
        <w:pStyle w:val="59"/>
        <w:spacing w:line="288" w:lineRule="auto"/>
        <w:ind w:firstLine="0" w:firstLineChars="0"/>
        <w:rPr>
          <w:rFonts w:hint="eastAsia" w:ascii="黑体" w:eastAsia="黑体"/>
          <w:color w:val="auto"/>
          <w:szCs w:val="22"/>
          <w:highlight w:val="none"/>
          <w:lang w:val="en-US" w:eastAsia="zh-CN"/>
        </w:rPr>
      </w:pPr>
      <w:r>
        <w:rPr>
          <w:rFonts w:hint="eastAsia" w:ascii="黑体" w:eastAsia="黑体"/>
          <w:color w:val="auto"/>
          <w:szCs w:val="22"/>
          <w:highlight w:val="none"/>
          <w:lang w:val="en-US" w:eastAsia="zh-CN"/>
        </w:rPr>
        <w:t xml:space="preserve">7.4.1 </w:t>
      </w:r>
      <w:r>
        <w:rPr>
          <w:rFonts w:hint="eastAsia" w:ascii="Times New Roman" w:hAnsi="Times New Roman" w:eastAsia="宋体" w:cs="Times New Roman"/>
          <w:color w:val="auto"/>
          <w:kern w:val="2"/>
          <w:sz w:val="21"/>
          <w:szCs w:val="21"/>
          <w:lang w:val="en-US" w:eastAsia="zh-CN" w:bidi="ar"/>
        </w:rPr>
        <w:t>锅炉</w:t>
      </w:r>
      <w:r>
        <w:rPr>
          <w:rFonts w:hint="eastAsia" w:ascii="Times New Roman" w:cs="Times New Roman"/>
          <w:color w:val="auto"/>
          <w:kern w:val="2"/>
          <w:sz w:val="21"/>
          <w:szCs w:val="21"/>
          <w:lang w:val="en-US" w:eastAsia="zh-CN" w:bidi="ar"/>
        </w:rPr>
        <w:t>节能</w:t>
      </w:r>
      <w:r>
        <w:rPr>
          <w:rFonts w:hint="eastAsia" w:ascii="Times New Roman" w:hAnsi="Times New Roman" w:eastAsia="宋体" w:cs="Times New Roman"/>
          <w:color w:val="auto"/>
          <w:kern w:val="2"/>
          <w:sz w:val="21"/>
          <w:szCs w:val="21"/>
          <w:lang w:val="en-US" w:eastAsia="zh-CN" w:bidi="ar"/>
        </w:rPr>
        <w:t>评价</w:t>
      </w:r>
      <w:r>
        <w:rPr>
          <w:rFonts w:hint="eastAsia" w:ascii="Times New Roman" w:hAnsi="Times New Roman" w:cs="Times New Roman"/>
          <w:color w:val="auto"/>
          <w:kern w:val="2"/>
          <w:sz w:val="21"/>
          <w:szCs w:val="21"/>
          <w:lang w:val="en-US" w:eastAsia="zh-CN" w:bidi="ar"/>
        </w:rPr>
        <w:t>内容</w:t>
      </w:r>
      <w:r>
        <w:rPr>
          <w:rFonts w:hint="eastAsia" w:ascii="Times New Roman" w:cs="Times New Roman"/>
          <w:color w:val="auto"/>
          <w:kern w:val="2"/>
          <w:sz w:val="21"/>
          <w:szCs w:val="21"/>
          <w:lang w:val="en-US" w:eastAsia="zh-CN" w:bidi="ar"/>
        </w:rPr>
        <w:t>为：</w:t>
      </w:r>
      <w:r>
        <w:rPr>
          <w:rFonts w:hint="eastAsia"/>
          <w:strike w:val="0"/>
          <w:dstrike w:val="0"/>
          <w:color w:val="auto"/>
          <w:szCs w:val="22"/>
          <w:highlight w:val="none"/>
          <w:lang w:val="en-US" w:eastAsia="zh-CN"/>
        </w:rPr>
        <w:t>锅炉</w:t>
      </w:r>
      <w:r>
        <w:rPr>
          <w:rFonts w:hint="eastAsia"/>
          <w:color w:val="auto"/>
          <w:szCs w:val="22"/>
          <w:highlight w:val="none"/>
          <w:lang w:val="en-US" w:eastAsia="zh-CN"/>
        </w:rPr>
        <w:t>能效检测</w:t>
      </w:r>
      <w:r>
        <w:rPr>
          <w:rFonts w:hint="eastAsia"/>
          <w:strike w:val="0"/>
          <w:dstrike w:val="0"/>
          <w:color w:val="auto"/>
          <w:szCs w:val="22"/>
          <w:highlight w:val="none"/>
          <w:lang w:val="en-US" w:eastAsia="zh-CN"/>
        </w:rPr>
        <w:t>项目。</w:t>
      </w:r>
    </w:p>
    <w:p>
      <w:pPr>
        <w:pStyle w:val="59"/>
        <w:spacing w:line="288" w:lineRule="auto"/>
        <w:ind w:firstLine="0" w:firstLineChars="0"/>
        <w:rPr>
          <w:rFonts w:hint="eastAsia"/>
          <w:color w:val="auto"/>
          <w:szCs w:val="22"/>
          <w:highlight w:val="none"/>
          <w:lang w:val="en-US" w:eastAsia="zh-CN"/>
        </w:rPr>
      </w:pPr>
      <w:r>
        <w:rPr>
          <w:rFonts w:hint="eastAsia" w:ascii="黑体" w:eastAsia="黑体"/>
          <w:color w:val="auto"/>
          <w:szCs w:val="22"/>
          <w:highlight w:val="none"/>
          <w:lang w:val="en-US" w:eastAsia="zh-CN"/>
        </w:rPr>
        <w:t xml:space="preserve">7.4.2 </w:t>
      </w:r>
      <w:r>
        <w:rPr>
          <w:rFonts w:hint="eastAsia"/>
          <w:color w:val="auto"/>
          <w:szCs w:val="22"/>
          <w:highlight w:val="none"/>
          <w:lang w:val="en-US" w:eastAsia="zh-CN"/>
        </w:rPr>
        <w:t>锅炉能效检测按现行TSG 91、</w:t>
      </w:r>
      <w:r>
        <w:rPr>
          <w:rFonts w:hint="eastAsia" w:cs="Times New Roman"/>
          <w:color w:val="auto"/>
          <w:szCs w:val="22"/>
          <w:highlight w:val="none"/>
          <w:lang w:val="en-US" w:eastAsia="zh-CN"/>
        </w:rPr>
        <w:t>GB 24500、</w:t>
      </w:r>
      <w:r>
        <w:rPr>
          <w:rFonts w:hint="eastAsia"/>
          <w:color w:val="auto"/>
          <w:szCs w:val="22"/>
          <w:highlight w:val="none"/>
          <w:lang w:val="en-US" w:eastAsia="zh-CN"/>
        </w:rPr>
        <w:t>GB/T 10180、GB/T 10184和NB/T 47066等标准执行，检测结论作为锅炉节能评价依据。</w:t>
      </w:r>
    </w:p>
    <w:p>
      <w:pPr>
        <w:pStyle w:val="59"/>
        <w:spacing w:line="288" w:lineRule="auto"/>
        <w:ind w:firstLine="0" w:firstLineChars="0"/>
        <w:rPr>
          <w:rFonts w:hint="eastAsia" w:ascii="黑体" w:eastAsia="黑体"/>
          <w:color w:val="auto"/>
          <w:szCs w:val="22"/>
          <w:highlight w:val="none"/>
          <w:lang w:val="en-US" w:eastAsia="zh-CN"/>
        </w:rPr>
      </w:pPr>
      <w:r>
        <w:rPr>
          <w:rFonts w:hint="eastAsia" w:ascii="黑体" w:eastAsia="黑体"/>
          <w:color w:val="auto"/>
          <w:szCs w:val="22"/>
          <w:highlight w:val="none"/>
          <w:lang w:val="en-US" w:eastAsia="zh-CN"/>
        </w:rPr>
        <w:t xml:space="preserve">7.4.3 </w:t>
      </w:r>
      <w:r>
        <w:rPr>
          <w:rFonts w:hint="eastAsia"/>
          <w:color w:val="auto"/>
          <w:szCs w:val="22"/>
          <w:highlight w:val="none"/>
          <w:lang w:val="en-US" w:eastAsia="zh-CN"/>
        </w:rPr>
        <w:t>当锅炉能效检测报告在有效期内时，节能评价可直接引用锅炉能效检测报告。</w:t>
      </w:r>
    </w:p>
    <w:p>
      <w:pPr>
        <w:pStyle w:val="59"/>
        <w:spacing w:line="288" w:lineRule="auto"/>
        <w:ind w:firstLine="0" w:firstLineChars="0"/>
        <w:rPr>
          <w:rFonts w:hint="eastAsia"/>
          <w:color w:val="auto"/>
          <w:szCs w:val="22"/>
          <w:highlight w:val="none"/>
          <w:lang w:val="en-US" w:eastAsia="zh-CN"/>
        </w:rPr>
      </w:pPr>
      <w:r>
        <w:rPr>
          <w:rFonts w:hint="eastAsia" w:ascii="黑体" w:eastAsia="黑体"/>
          <w:color w:val="auto"/>
          <w:szCs w:val="22"/>
          <w:highlight w:val="none"/>
          <w:lang w:val="en-US" w:eastAsia="zh-CN"/>
        </w:rPr>
        <w:t xml:space="preserve">7.4.4 </w:t>
      </w:r>
      <w:r>
        <w:rPr>
          <w:rFonts w:hint="eastAsia"/>
          <w:color w:val="auto"/>
          <w:szCs w:val="22"/>
          <w:highlight w:val="none"/>
          <w:lang w:val="en-US" w:eastAsia="zh-CN"/>
        </w:rPr>
        <w:t>锅炉节能评价指标为锅炉热效率，节能评价结论为“符合”和“不符合”。</w:t>
      </w:r>
    </w:p>
    <w:p>
      <w:pPr>
        <w:pStyle w:val="59"/>
        <w:spacing w:line="288" w:lineRule="auto"/>
        <w:ind w:firstLine="0" w:firstLineChars="0"/>
        <w:rPr>
          <w:rFonts w:hint="eastAsia" w:cs="Times New Roman"/>
          <w:color w:val="auto"/>
          <w:szCs w:val="22"/>
          <w:highlight w:val="none"/>
          <w:lang w:val="en-US" w:eastAsia="zh-CN"/>
        </w:rPr>
      </w:pPr>
      <w:r>
        <w:rPr>
          <w:rFonts w:hint="eastAsia" w:ascii="黑体" w:eastAsia="黑体"/>
          <w:color w:val="auto"/>
          <w:szCs w:val="22"/>
          <w:highlight w:val="none"/>
          <w:lang w:val="en-US" w:eastAsia="zh-CN"/>
        </w:rPr>
        <w:t xml:space="preserve">7.4.4.1 </w:t>
      </w:r>
      <w:r>
        <w:rPr>
          <w:rFonts w:hint="eastAsia" w:cs="Times New Roman"/>
          <w:color w:val="auto"/>
          <w:szCs w:val="22"/>
          <w:highlight w:val="none"/>
          <w:lang w:val="en-US" w:eastAsia="zh-CN"/>
        </w:rPr>
        <w:t>电站锅炉能效</w:t>
      </w:r>
      <w:r>
        <w:rPr>
          <w:rFonts w:hint="eastAsia"/>
          <w:color w:val="auto"/>
          <w:szCs w:val="22"/>
          <w:highlight w:val="none"/>
          <w:lang w:val="en-US" w:eastAsia="zh-CN"/>
        </w:rPr>
        <w:t>检测</w:t>
      </w:r>
      <w:r>
        <w:rPr>
          <w:rFonts w:hint="eastAsia" w:cs="Times New Roman"/>
          <w:color w:val="auto"/>
          <w:szCs w:val="22"/>
          <w:highlight w:val="none"/>
          <w:lang w:val="en-US" w:eastAsia="zh-CN"/>
        </w:rPr>
        <w:t>报告中满足设计要求或项目保证值的，节能评价结论为“符合”。否则，节能评价结论为“不符合”。</w:t>
      </w:r>
    </w:p>
    <w:p>
      <w:pPr>
        <w:pStyle w:val="59"/>
        <w:spacing w:line="288" w:lineRule="auto"/>
        <w:ind w:firstLine="0" w:firstLineChars="0"/>
        <w:rPr>
          <w:rFonts w:hint="eastAsia" w:cs="Times New Roman"/>
          <w:color w:val="auto"/>
          <w:szCs w:val="22"/>
          <w:highlight w:val="none"/>
          <w:lang w:val="en-US" w:eastAsia="zh-CN"/>
        </w:rPr>
      </w:pPr>
      <w:r>
        <w:rPr>
          <w:rFonts w:hint="eastAsia" w:ascii="黑体" w:eastAsia="黑体"/>
          <w:color w:val="auto"/>
          <w:szCs w:val="22"/>
          <w:highlight w:val="none"/>
          <w:lang w:val="en-US" w:eastAsia="zh-CN"/>
        </w:rPr>
        <w:t xml:space="preserve">7.4.4.2 </w:t>
      </w:r>
      <w:r>
        <w:rPr>
          <w:rFonts w:hint="eastAsia"/>
          <w:color w:val="auto"/>
          <w:szCs w:val="22"/>
          <w:highlight w:val="none"/>
          <w:lang w:val="en-US" w:eastAsia="zh-CN"/>
        </w:rPr>
        <w:t>电站锅炉以外的锅炉能效检测报告中锅炉热效率指标符合要求的</w:t>
      </w:r>
      <w:r>
        <w:rPr>
          <w:rFonts w:hint="eastAsia" w:cs="Times New Roman"/>
          <w:color w:val="auto"/>
          <w:szCs w:val="22"/>
          <w:highlight w:val="none"/>
          <w:lang w:val="en-US" w:eastAsia="zh-CN"/>
        </w:rPr>
        <w:t>，节能评价结论为“符合”。否则，节能评价结论为“不符合”。</w:t>
      </w:r>
    </w:p>
    <w:p>
      <w:pPr>
        <w:pStyle w:val="59"/>
        <w:spacing w:line="288" w:lineRule="auto"/>
        <w:ind w:firstLine="0" w:firstLineChars="0"/>
        <w:rPr>
          <w:rFonts w:hint="eastAsia" w:cs="Times New Roman"/>
          <w:color w:val="auto"/>
          <w:szCs w:val="22"/>
          <w:highlight w:val="none"/>
          <w:lang w:val="en-US" w:eastAsia="zh-CN"/>
        </w:rPr>
      </w:pPr>
    </w:p>
    <w:p>
      <w:pPr>
        <w:pStyle w:val="59"/>
        <w:spacing w:line="288" w:lineRule="auto"/>
        <w:ind w:firstLine="0" w:firstLineChars="0"/>
        <w:rPr>
          <w:rFonts w:hint="eastAsia" w:ascii="黑体" w:eastAsia="黑体"/>
          <w:color w:val="auto"/>
          <w:szCs w:val="22"/>
          <w:highlight w:val="none"/>
          <w:lang w:val="en-US" w:eastAsia="zh-CN"/>
        </w:rPr>
      </w:pPr>
      <w:r>
        <w:rPr>
          <w:rFonts w:hint="eastAsia" w:ascii="黑体" w:eastAsia="黑体"/>
          <w:color w:val="auto"/>
          <w:szCs w:val="22"/>
          <w:highlight w:val="none"/>
          <w:lang w:val="en-US" w:eastAsia="zh-CN"/>
        </w:rPr>
        <w:t>7.5 环保评价</w:t>
      </w:r>
    </w:p>
    <w:p>
      <w:pPr>
        <w:pStyle w:val="59"/>
        <w:spacing w:line="288" w:lineRule="auto"/>
        <w:ind w:firstLine="0" w:firstLineChars="0"/>
        <w:rPr>
          <w:rFonts w:hint="eastAsia" w:ascii="黑体" w:eastAsia="黑体"/>
          <w:color w:val="auto"/>
          <w:szCs w:val="22"/>
          <w:highlight w:val="none"/>
          <w:lang w:val="en-US" w:eastAsia="zh-CN"/>
        </w:rPr>
      </w:pPr>
    </w:p>
    <w:p>
      <w:pPr>
        <w:pStyle w:val="59"/>
        <w:spacing w:line="288" w:lineRule="auto"/>
        <w:ind w:firstLine="0" w:firstLineChars="0"/>
        <w:rPr>
          <w:rFonts w:hint="eastAsia" w:ascii="黑体" w:eastAsia="黑体"/>
          <w:color w:val="auto"/>
          <w:szCs w:val="22"/>
          <w:highlight w:val="none"/>
          <w:lang w:val="en-US" w:eastAsia="zh-CN"/>
        </w:rPr>
      </w:pPr>
      <w:r>
        <w:rPr>
          <w:rFonts w:hint="eastAsia" w:ascii="黑体" w:eastAsia="黑体"/>
          <w:color w:val="auto"/>
          <w:szCs w:val="22"/>
          <w:highlight w:val="none"/>
          <w:lang w:val="en-US" w:eastAsia="zh-CN"/>
        </w:rPr>
        <w:t xml:space="preserve">7.5.1 </w:t>
      </w:r>
      <w:r>
        <w:rPr>
          <w:rFonts w:hint="eastAsia" w:ascii="Times New Roman" w:hAnsi="Times New Roman" w:eastAsia="宋体" w:cs="Times New Roman"/>
          <w:color w:val="auto"/>
          <w:kern w:val="2"/>
          <w:sz w:val="21"/>
          <w:szCs w:val="21"/>
          <w:lang w:val="en-US" w:eastAsia="zh-CN" w:bidi="ar"/>
        </w:rPr>
        <w:t>锅炉</w:t>
      </w:r>
      <w:r>
        <w:rPr>
          <w:rFonts w:hint="eastAsia" w:ascii="Times New Roman" w:cs="Times New Roman"/>
          <w:color w:val="auto"/>
          <w:kern w:val="2"/>
          <w:sz w:val="21"/>
          <w:szCs w:val="21"/>
          <w:lang w:val="en-US" w:eastAsia="zh-CN" w:bidi="ar"/>
        </w:rPr>
        <w:t>环保</w:t>
      </w:r>
      <w:r>
        <w:rPr>
          <w:rFonts w:hint="eastAsia" w:ascii="Times New Roman" w:hAnsi="Times New Roman" w:eastAsia="宋体" w:cs="Times New Roman"/>
          <w:color w:val="auto"/>
          <w:kern w:val="2"/>
          <w:sz w:val="21"/>
          <w:szCs w:val="21"/>
          <w:lang w:val="en-US" w:eastAsia="zh-CN" w:bidi="ar"/>
        </w:rPr>
        <w:t>评价</w:t>
      </w:r>
      <w:r>
        <w:rPr>
          <w:rFonts w:hint="eastAsia" w:ascii="Times New Roman" w:hAnsi="Times New Roman" w:cs="Times New Roman"/>
          <w:color w:val="auto"/>
          <w:kern w:val="2"/>
          <w:sz w:val="21"/>
          <w:szCs w:val="21"/>
          <w:lang w:val="en-US" w:eastAsia="zh-CN" w:bidi="ar"/>
        </w:rPr>
        <w:t>内容</w:t>
      </w:r>
      <w:r>
        <w:rPr>
          <w:rFonts w:hint="eastAsia" w:ascii="Times New Roman" w:cs="Times New Roman"/>
          <w:color w:val="auto"/>
          <w:kern w:val="2"/>
          <w:sz w:val="21"/>
          <w:szCs w:val="21"/>
          <w:lang w:val="en-US" w:eastAsia="zh-CN" w:bidi="ar"/>
        </w:rPr>
        <w:t>为：</w:t>
      </w:r>
      <w:r>
        <w:rPr>
          <w:rFonts w:hint="eastAsia"/>
          <w:color w:val="auto"/>
          <w:szCs w:val="22"/>
          <w:highlight w:val="none"/>
          <w:lang w:val="en-US" w:eastAsia="zh-CN"/>
        </w:rPr>
        <w:t>锅炉大气污染物排放检测</w:t>
      </w:r>
      <w:r>
        <w:rPr>
          <w:rFonts w:hint="eastAsia"/>
          <w:strike w:val="0"/>
          <w:dstrike w:val="0"/>
          <w:color w:val="auto"/>
          <w:szCs w:val="22"/>
          <w:highlight w:val="none"/>
          <w:lang w:val="en-US" w:eastAsia="zh-CN"/>
        </w:rPr>
        <w:t>项目。</w:t>
      </w:r>
    </w:p>
    <w:p>
      <w:pPr>
        <w:pStyle w:val="59"/>
        <w:spacing w:line="288" w:lineRule="auto"/>
        <w:ind w:firstLine="0" w:firstLineChars="0"/>
        <w:rPr>
          <w:rFonts w:hint="eastAsia"/>
          <w:color w:val="auto"/>
          <w:szCs w:val="22"/>
          <w:highlight w:val="none"/>
          <w:lang w:val="en-US" w:eastAsia="zh-CN"/>
        </w:rPr>
      </w:pPr>
      <w:r>
        <w:rPr>
          <w:rFonts w:hint="eastAsia" w:ascii="黑体" w:eastAsia="黑体"/>
          <w:color w:val="auto"/>
          <w:szCs w:val="22"/>
          <w:highlight w:val="none"/>
          <w:lang w:val="en-US" w:eastAsia="zh-CN"/>
        </w:rPr>
        <w:t xml:space="preserve">7.5.2 </w:t>
      </w:r>
      <w:r>
        <w:rPr>
          <w:rFonts w:hint="eastAsia"/>
          <w:color w:val="auto"/>
          <w:szCs w:val="22"/>
          <w:highlight w:val="none"/>
          <w:lang w:val="en-US" w:eastAsia="zh-CN"/>
        </w:rPr>
        <w:t xml:space="preserve">锅炉大气污染物排放检测按现行TSG 91、GB </w:t>
      </w:r>
      <w:r>
        <w:rPr>
          <w:rFonts w:hint="default"/>
          <w:color w:val="auto"/>
          <w:szCs w:val="22"/>
          <w:highlight w:val="none"/>
          <w:lang w:val="en-US" w:eastAsia="zh-CN"/>
        </w:rPr>
        <w:t>13271</w:t>
      </w:r>
      <w:r>
        <w:rPr>
          <w:rFonts w:hint="eastAsia"/>
          <w:color w:val="auto"/>
          <w:szCs w:val="22"/>
          <w:highlight w:val="none"/>
          <w:lang w:val="en-US" w:eastAsia="zh-CN"/>
        </w:rPr>
        <w:t>、GB 13223 、GB 18485和DB 50/658等标准执行，检测结论作为锅炉环保评价依据。</w:t>
      </w:r>
    </w:p>
    <w:p>
      <w:pPr>
        <w:pStyle w:val="59"/>
        <w:spacing w:line="288" w:lineRule="auto"/>
        <w:ind w:firstLine="0" w:firstLineChars="0"/>
        <w:rPr>
          <w:rFonts w:hint="eastAsia"/>
          <w:strike w:val="0"/>
          <w:color w:val="auto"/>
          <w:szCs w:val="22"/>
          <w:highlight w:val="none"/>
          <w:lang w:val="en-US" w:eastAsia="zh-CN"/>
        </w:rPr>
      </w:pPr>
      <w:r>
        <w:rPr>
          <w:rFonts w:hint="eastAsia" w:ascii="黑体" w:eastAsia="黑体"/>
          <w:color w:val="auto"/>
          <w:szCs w:val="22"/>
          <w:highlight w:val="none"/>
          <w:lang w:val="en-US" w:eastAsia="zh-CN"/>
        </w:rPr>
        <w:t xml:space="preserve">7.5.3 </w:t>
      </w:r>
      <w:r>
        <w:rPr>
          <w:rFonts w:hint="eastAsia"/>
          <w:color w:val="auto"/>
          <w:szCs w:val="22"/>
          <w:highlight w:val="none"/>
          <w:lang w:val="en-US" w:eastAsia="zh-CN"/>
        </w:rPr>
        <w:t>当锅炉大气污染物排放检测报告未超过一年且燃烧器未发生变更时，</w:t>
      </w:r>
      <w:r>
        <w:rPr>
          <w:rFonts w:hint="eastAsia"/>
          <w:strike w:val="0"/>
          <w:color w:val="auto"/>
          <w:szCs w:val="22"/>
          <w:highlight w:val="none"/>
          <w:lang w:val="en-US" w:eastAsia="zh-CN"/>
        </w:rPr>
        <w:t>环保评价可直接引用大气污染物排放</w:t>
      </w:r>
      <w:r>
        <w:rPr>
          <w:rFonts w:hint="eastAsia"/>
          <w:color w:val="auto"/>
          <w:szCs w:val="22"/>
          <w:highlight w:val="none"/>
          <w:lang w:val="en-US" w:eastAsia="zh-CN"/>
        </w:rPr>
        <w:t>检测</w:t>
      </w:r>
      <w:r>
        <w:rPr>
          <w:rFonts w:hint="eastAsia"/>
          <w:strike w:val="0"/>
          <w:color w:val="auto"/>
          <w:szCs w:val="22"/>
          <w:highlight w:val="none"/>
          <w:lang w:val="en-US" w:eastAsia="zh-CN"/>
        </w:rPr>
        <w:t>报告。与生态环境主管部门联网的锅炉，环保评价可以直接引用符合生态环境主管部门要求的自动监测数据。</w:t>
      </w:r>
    </w:p>
    <w:p>
      <w:pPr>
        <w:pStyle w:val="59"/>
        <w:spacing w:line="288" w:lineRule="auto"/>
        <w:ind w:firstLine="0" w:firstLineChars="0"/>
        <w:rPr>
          <w:rFonts w:hint="eastAsia"/>
          <w:color w:val="auto"/>
          <w:szCs w:val="22"/>
          <w:highlight w:val="none"/>
          <w:lang w:val="en-US" w:eastAsia="zh-CN"/>
        </w:rPr>
      </w:pPr>
      <w:r>
        <w:rPr>
          <w:rFonts w:hint="eastAsia" w:ascii="黑体" w:eastAsia="黑体"/>
          <w:color w:val="auto"/>
          <w:szCs w:val="22"/>
          <w:highlight w:val="none"/>
          <w:lang w:val="en-US" w:eastAsia="zh-CN"/>
        </w:rPr>
        <w:t>7.5.4</w:t>
      </w:r>
      <w:r>
        <w:rPr>
          <w:rFonts w:hint="eastAsia"/>
          <w:color w:val="auto"/>
          <w:szCs w:val="22"/>
          <w:highlight w:val="none"/>
          <w:lang w:val="en-US" w:eastAsia="zh-CN"/>
        </w:rPr>
        <w:t xml:space="preserve"> 环保评价结论为“符合”和“不符合”。</w:t>
      </w:r>
    </w:p>
    <w:p>
      <w:pPr>
        <w:pStyle w:val="59"/>
        <w:spacing w:line="288" w:lineRule="auto"/>
        <w:ind w:firstLine="420" w:firstLineChars="200"/>
        <w:rPr>
          <w:rFonts w:hint="eastAsia"/>
          <w:color w:val="auto"/>
          <w:szCs w:val="22"/>
          <w:highlight w:val="none"/>
          <w:lang w:val="en-US" w:eastAsia="zh-CN"/>
        </w:rPr>
      </w:pPr>
      <w:r>
        <w:rPr>
          <w:rFonts w:hint="eastAsia"/>
          <w:color w:val="auto"/>
          <w:szCs w:val="22"/>
          <w:highlight w:val="none"/>
          <w:lang w:val="en-US" w:eastAsia="zh-CN"/>
        </w:rPr>
        <w:t>锅炉大气污染物排放结果均满足对应标准要求的，评价结论为“符合”。否则，评价结论为“不符合”。</w:t>
      </w:r>
    </w:p>
    <w:p>
      <w:pPr>
        <w:pStyle w:val="107"/>
        <w:spacing w:before="240" w:after="240"/>
        <w:rPr>
          <w:rFonts w:hint="eastAsia" w:ascii="黑体" w:eastAsia="黑体"/>
          <w:color w:val="auto"/>
          <w:szCs w:val="22"/>
          <w:highlight w:val="none"/>
          <w:lang w:val="en-US" w:eastAsia="zh-CN"/>
        </w:rPr>
      </w:pPr>
      <w:bookmarkStart w:id="51" w:name="_Toc3281"/>
      <w:r>
        <w:rPr>
          <w:rFonts w:hint="eastAsia"/>
          <w:color w:val="000000" w:themeColor="text1"/>
          <w:szCs w:val="22"/>
          <w:highlight w:val="none"/>
          <w:lang w:val="en-US" w:eastAsia="zh-CN"/>
          <w14:textFill>
            <w14:solidFill>
              <w14:schemeClr w14:val="tx1"/>
            </w14:solidFill>
          </w14:textFill>
        </w:rPr>
        <w:t>更新评级</w:t>
      </w:r>
      <w:bookmarkEnd w:id="51"/>
    </w:p>
    <w:p>
      <w:pPr>
        <w:pStyle w:val="59"/>
        <w:spacing w:line="288" w:lineRule="auto"/>
        <w:ind w:firstLine="420" w:firstLineChars="200"/>
        <w:rPr>
          <w:rFonts w:hint="eastAsia"/>
          <w:color w:val="auto"/>
          <w:highlight w:val="none"/>
          <w:lang w:val="en-US" w:eastAsia="zh-CN"/>
        </w:rPr>
      </w:pPr>
      <w:r>
        <w:rPr>
          <w:rFonts w:hint="eastAsia"/>
          <w:color w:val="auto"/>
          <w:szCs w:val="22"/>
          <w:highlight w:val="none"/>
          <w:lang w:val="en-US" w:eastAsia="zh-CN"/>
        </w:rPr>
        <w:t>根据各更新评估分项评价的结论</w:t>
      </w:r>
      <w:r>
        <w:rPr>
          <w:rFonts w:hint="eastAsia"/>
          <w:color w:val="auto"/>
          <w:highlight w:val="none"/>
          <w:lang w:val="en-US" w:eastAsia="zh-CN"/>
        </w:rPr>
        <w:t>确定锅炉的更新等级</w:t>
      </w:r>
      <w:r>
        <w:rPr>
          <w:rFonts w:hint="eastAsia"/>
          <w:color w:val="auto"/>
          <w:szCs w:val="22"/>
          <w:highlight w:val="none"/>
          <w:lang w:val="en-US" w:eastAsia="zh-CN"/>
        </w:rPr>
        <w:t>,分为“维保”、</w:t>
      </w:r>
      <w:r>
        <w:rPr>
          <w:rFonts w:hint="eastAsia"/>
          <w:color w:val="auto"/>
          <w:highlight w:val="none"/>
          <w:lang w:val="en-US" w:eastAsia="zh-CN"/>
        </w:rPr>
        <w:t>“修理”、“改造”和“换新”四个等级。</w:t>
      </w:r>
    </w:p>
    <w:p>
      <w:pPr>
        <w:pStyle w:val="59"/>
        <w:spacing w:line="288" w:lineRule="auto"/>
        <w:ind w:firstLine="0" w:firstLineChars="0"/>
        <w:rPr>
          <w:rFonts w:hint="eastAsia" w:ascii="Times New Roman" w:cs="宋体"/>
          <w:color w:val="auto"/>
          <w:highlight w:val="none"/>
          <w:lang w:val="en-US" w:eastAsia="zh-CN"/>
        </w:rPr>
      </w:pPr>
      <w:r>
        <w:rPr>
          <w:rFonts w:hint="eastAsia" w:ascii="黑体" w:eastAsia="黑体"/>
          <w:color w:val="auto"/>
          <w:szCs w:val="22"/>
          <w:highlight w:val="none"/>
          <w:lang w:val="en-US" w:eastAsia="zh-CN"/>
        </w:rPr>
        <w:t xml:space="preserve">8.1 </w:t>
      </w:r>
      <w:r>
        <w:rPr>
          <w:rFonts w:hint="eastAsia" w:ascii="Times New Roman" w:cs="宋体"/>
          <w:color w:val="auto"/>
          <w:highlight w:val="none"/>
          <w:lang w:val="en-US" w:eastAsia="zh-CN"/>
        </w:rPr>
        <w:t>锅炉符合下列情况的，更新等级应为“维保”：</w:t>
      </w:r>
    </w:p>
    <w:p>
      <w:pPr>
        <w:pStyle w:val="26"/>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Autospacing="0" w:afterAutospacing="0" w:line="288" w:lineRule="auto"/>
        <w:ind w:leftChars="0" w:right="0" w:rightChars="0" w:firstLine="420" w:firstLineChars="200"/>
        <w:jc w:val="both"/>
        <w:textAlignment w:val="auto"/>
        <w:outlineLvl w:val="9"/>
        <w:rPr>
          <w:rFonts w:hint="eastAsia"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锅炉满足现行安全节能环保法规及标准要求</w:t>
      </w:r>
      <w:r>
        <w:rPr>
          <w:rFonts w:hint="eastAsia" w:ascii="Times New Roman" w:hAnsi="Times New Roman" w:cs="Times New Roman"/>
          <w:color w:val="auto"/>
          <w:kern w:val="2"/>
          <w:sz w:val="21"/>
          <w:szCs w:val="21"/>
          <w:lang w:val="en-US" w:eastAsia="zh-CN" w:bidi="ar"/>
        </w:rPr>
        <w:t>，且资料评价、安全评价、节能评价、环保评价均为符合，寿命评价为“寿命未结束”的。</w:t>
      </w:r>
    </w:p>
    <w:p>
      <w:pPr>
        <w:pStyle w:val="59"/>
        <w:spacing w:line="288" w:lineRule="auto"/>
        <w:ind w:firstLine="0" w:firstLineChars="0"/>
        <w:rPr>
          <w:rFonts w:hint="eastAsia" w:ascii="Times New Roman" w:cs="宋体"/>
          <w:color w:val="auto"/>
          <w:highlight w:val="none"/>
          <w:lang w:val="en-US" w:eastAsia="zh-CN"/>
        </w:rPr>
      </w:pPr>
      <w:r>
        <w:rPr>
          <w:rFonts w:hint="eastAsia" w:ascii="黑体" w:eastAsia="黑体"/>
          <w:color w:val="auto"/>
          <w:szCs w:val="22"/>
          <w:highlight w:val="none"/>
          <w:lang w:val="en-US" w:eastAsia="zh-CN"/>
        </w:rPr>
        <w:t xml:space="preserve">8.2 </w:t>
      </w:r>
      <w:r>
        <w:rPr>
          <w:rFonts w:hint="eastAsia" w:ascii="Times New Roman" w:cs="宋体"/>
          <w:color w:val="auto"/>
          <w:highlight w:val="none"/>
          <w:lang w:val="en-US" w:eastAsia="zh-CN"/>
        </w:rPr>
        <w:t>锅炉存在下列情况之一的，更新等级应为“修理”：</w:t>
      </w:r>
    </w:p>
    <w:p>
      <w:pPr>
        <w:pStyle w:val="59"/>
        <w:spacing w:line="288" w:lineRule="auto"/>
        <w:ind w:firstLine="0" w:firstLineChars="0"/>
        <w:rPr>
          <w:rFonts w:hint="eastAsia" w:ascii="Times New Roman" w:cs="宋体"/>
          <w:color w:val="auto"/>
          <w:highlight w:val="none"/>
          <w:lang w:val="en-US" w:eastAsia="zh-CN"/>
        </w:rPr>
      </w:pPr>
      <w:r>
        <w:rPr>
          <w:rFonts w:hint="eastAsia" w:ascii="黑体" w:eastAsia="黑体"/>
          <w:color w:val="auto"/>
          <w:szCs w:val="22"/>
          <w:highlight w:val="none"/>
          <w:lang w:val="en-US" w:eastAsia="zh-CN"/>
        </w:rPr>
        <w:t xml:space="preserve">8.2.1 </w:t>
      </w:r>
      <w:r>
        <w:rPr>
          <w:rFonts w:hint="eastAsia" w:ascii="Times New Roman" w:cs="宋体"/>
          <w:color w:val="auto"/>
          <w:highlight w:val="none"/>
          <w:lang w:val="en-US" w:eastAsia="zh-CN"/>
        </w:rPr>
        <w:t>资料评价结论为“不符合”，</w:t>
      </w:r>
      <w:r>
        <w:rPr>
          <w:rFonts w:hint="eastAsia" w:ascii="Times New Roman" w:hAnsi="Times New Roman" w:eastAsia="宋体" w:cs="Times New Roman"/>
          <w:color w:val="auto"/>
          <w:kern w:val="2"/>
          <w:sz w:val="21"/>
          <w:szCs w:val="21"/>
          <w:lang w:val="en-US" w:eastAsia="zh-CN" w:bidi="ar"/>
        </w:rPr>
        <w:t>通过修理可以达到现行法规及标准要求的</w:t>
      </w:r>
      <w:r>
        <w:rPr>
          <w:rFonts w:hint="eastAsia" w:ascii="Times New Roman" w:cs="Times New Roman"/>
          <w:color w:val="auto"/>
          <w:kern w:val="2"/>
          <w:sz w:val="21"/>
          <w:szCs w:val="21"/>
          <w:lang w:val="en-US" w:eastAsia="zh-CN" w:bidi="ar"/>
        </w:rPr>
        <w:t>。</w:t>
      </w:r>
    </w:p>
    <w:p>
      <w:pPr>
        <w:pStyle w:val="26"/>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Autospacing="0" w:afterAutospacing="0" w:line="288" w:lineRule="auto"/>
        <w:ind w:left="0" w:leftChars="0" w:right="0" w:rightChars="0" w:firstLine="0" w:firstLineChars="0"/>
        <w:jc w:val="both"/>
        <w:textAlignment w:val="auto"/>
        <w:outlineLvl w:val="9"/>
        <w:rPr>
          <w:rFonts w:hint="eastAsia" w:ascii="Times New Roman" w:hAnsi="Times New Roman" w:cs="Times New Roman"/>
          <w:color w:val="auto"/>
          <w:kern w:val="2"/>
          <w:sz w:val="21"/>
          <w:szCs w:val="21"/>
          <w:lang w:val="en-US" w:eastAsia="zh-CN" w:bidi="ar"/>
        </w:rPr>
      </w:pPr>
      <w:r>
        <w:rPr>
          <w:rFonts w:hint="eastAsia" w:ascii="黑体" w:hAnsi="Times New Roman" w:eastAsia="黑体" w:cs="Times New Roman"/>
          <w:color w:val="auto"/>
          <w:sz w:val="21"/>
          <w:szCs w:val="22"/>
          <w:highlight w:val="none"/>
          <w:lang w:val="en-US" w:eastAsia="zh-CN" w:bidi="ar-SA"/>
        </w:rPr>
        <w:t xml:space="preserve">8.2.2 </w:t>
      </w:r>
      <w:r>
        <w:rPr>
          <w:rFonts w:hint="eastAsia" w:ascii="Times New Roman" w:hAnsi="Times New Roman" w:cs="Times New Roman"/>
          <w:color w:val="auto"/>
          <w:kern w:val="2"/>
          <w:sz w:val="21"/>
          <w:szCs w:val="21"/>
          <w:lang w:val="en-US" w:eastAsia="zh-CN" w:bidi="ar"/>
        </w:rPr>
        <w:t>安全评价结论为“不符合”，</w:t>
      </w:r>
      <w:r>
        <w:rPr>
          <w:rFonts w:hint="eastAsia" w:ascii="Times New Roman" w:hAnsi="Times New Roman" w:eastAsia="宋体" w:cs="Times New Roman"/>
          <w:color w:val="auto"/>
          <w:kern w:val="2"/>
          <w:sz w:val="21"/>
          <w:szCs w:val="21"/>
          <w:lang w:val="en-US" w:eastAsia="zh-CN" w:bidi="ar"/>
        </w:rPr>
        <w:t>通过修理可以达到现行法规及标准</w:t>
      </w:r>
      <w:r>
        <w:rPr>
          <w:rFonts w:hint="eastAsia" w:ascii="Times New Roman" w:hAnsi="Times New Roman" w:cs="Times New Roman"/>
          <w:color w:val="auto"/>
          <w:kern w:val="2"/>
          <w:sz w:val="21"/>
          <w:szCs w:val="21"/>
          <w:lang w:val="en-US" w:eastAsia="zh-CN" w:bidi="ar"/>
        </w:rPr>
        <w:t>安全</w:t>
      </w:r>
      <w:r>
        <w:rPr>
          <w:rFonts w:hint="eastAsia" w:ascii="Times New Roman" w:hAnsi="Times New Roman" w:eastAsia="宋体" w:cs="Times New Roman"/>
          <w:color w:val="auto"/>
          <w:kern w:val="2"/>
          <w:sz w:val="21"/>
          <w:szCs w:val="21"/>
          <w:lang w:val="en-US" w:eastAsia="zh-CN" w:bidi="ar"/>
        </w:rPr>
        <w:t>要求的</w:t>
      </w:r>
      <w:r>
        <w:rPr>
          <w:rFonts w:hint="eastAsia" w:ascii="Times New Roman" w:hAnsi="Times New Roman" w:cs="Times New Roman"/>
          <w:color w:val="auto"/>
          <w:kern w:val="2"/>
          <w:sz w:val="21"/>
          <w:szCs w:val="21"/>
          <w:lang w:val="en-US" w:eastAsia="zh-CN" w:bidi="ar"/>
        </w:rPr>
        <w:t>。</w:t>
      </w:r>
    </w:p>
    <w:p>
      <w:pPr>
        <w:pStyle w:val="26"/>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Autospacing="0" w:afterAutospacing="0" w:line="288" w:lineRule="auto"/>
        <w:ind w:left="0" w:leftChars="0" w:right="0" w:rightChars="0" w:firstLine="0" w:firstLineChars="0"/>
        <w:jc w:val="both"/>
        <w:textAlignment w:val="auto"/>
        <w:outlineLvl w:val="9"/>
        <w:rPr>
          <w:rFonts w:hint="eastAsia" w:ascii="Times New Roman" w:hAnsi="Times New Roman" w:cs="Times New Roman"/>
          <w:color w:val="auto"/>
          <w:kern w:val="2"/>
          <w:sz w:val="21"/>
          <w:szCs w:val="21"/>
          <w:lang w:val="en-US" w:eastAsia="zh-CN" w:bidi="ar"/>
        </w:rPr>
      </w:pPr>
      <w:r>
        <w:rPr>
          <w:rFonts w:hint="eastAsia" w:ascii="黑体" w:hAnsi="Times New Roman" w:eastAsia="黑体" w:cs="Times New Roman"/>
          <w:color w:val="auto"/>
          <w:sz w:val="21"/>
          <w:szCs w:val="22"/>
          <w:highlight w:val="none"/>
          <w:lang w:val="en-US" w:eastAsia="zh-CN" w:bidi="ar-SA"/>
        </w:rPr>
        <w:t xml:space="preserve">8.2.3 </w:t>
      </w:r>
      <w:r>
        <w:rPr>
          <w:rFonts w:hint="eastAsia" w:ascii="Times New Roman" w:hAnsi="Times New Roman" w:cs="Times New Roman"/>
          <w:color w:val="auto"/>
          <w:kern w:val="2"/>
          <w:sz w:val="21"/>
          <w:szCs w:val="21"/>
          <w:lang w:val="en-US" w:eastAsia="zh-CN" w:bidi="ar"/>
        </w:rPr>
        <w:t>寿命评价结论为“寿命结束”，</w:t>
      </w:r>
      <w:r>
        <w:rPr>
          <w:rFonts w:hint="eastAsia" w:ascii="Times New Roman" w:hAnsi="Times New Roman" w:eastAsia="宋体" w:cs="Times New Roman"/>
          <w:color w:val="auto"/>
          <w:kern w:val="2"/>
          <w:sz w:val="21"/>
          <w:szCs w:val="21"/>
          <w:lang w:val="en-US" w:eastAsia="zh-CN" w:bidi="ar"/>
        </w:rPr>
        <w:t>通过修理可以达到现行法规及标准</w:t>
      </w:r>
      <w:r>
        <w:rPr>
          <w:rFonts w:hint="eastAsia" w:ascii="Times New Roman" w:hAnsi="Times New Roman" w:cs="Times New Roman"/>
          <w:color w:val="auto"/>
          <w:kern w:val="2"/>
          <w:sz w:val="21"/>
          <w:szCs w:val="21"/>
          <w:lang w:val="en-US" w:eastAsia="zh-CN" w:bidi="ar"/>
        </w:rPr>
        <w:t>寿命</w:t>
      </w:r>
      <w:r>
        <w:rPr>
          <w:rFonts w:hint="eastAsia" w:ascii="Times New Roman" w:hAnsi="Times New Roman" w:eastAsia="宋体" w:cs="Times New Roman"/>
          <w:color w:val="auto"/>
          <w:kern w:val="2"/>
          <w:sz w:val="21"/>
          <w:szCs w:val="21"/>
          <w:lang w:val="en-US" w:eastAsia="zh-CN" w:bidi="ar"/>
        </w:rPr>
        <w:t>要求的。</w:t>
      </w:r>
    </w:p>
    <w:p>
      <w:pPr>
        <w:pStyle w:val="26"/>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Autospacing="0" w:afterAutospacing="0" w:line="288" w:lineRule="auto"/>
        <w:ind w:left="0" w:leftChars="0" w:right="0" w:rightChars="0" w:firstLine="0" w:firstLineChars="0"/>
        <w:jc w:val="both"/>
        <w:textAlignment w:val="auto"/>
        <w:outlineLvl w:val="9"/>
        <w:rPr>
          <w:rFonts w:hint="eastAsia" w:ascii="Times New Roman" w:hAnsi="Times New Roman" w:eastAsia="宋体" w:cs="Times New Roman"/>
          <w:color w:val="auto"/>
          <w:kern w:val="2"/>
          <w:sz w:val="21"/>
          <w:szCs w:val="21"/>
          <w:lang w:val="en-US" w:eastAsia="zh-CN" w:bidi="ar"/>
        </w:rPr>
      </w:pPr>
      <w:r>
        <w:rPr>
          <w:rFonts w:hint="eastAsia" w:ascii="黑体" w:hAnsi="Times New Roman" w:eastAsia="黑体" w:cs="Times New Roman"/>
          <w:color w:val="auto"/>
          <w:sz w:val="21"/>
          <w:szCs w:val="22"/>
          <w:highlight w:val="none"/>
          <w:lang w:val="en-US" w:eastAsia="zh-CN" w:bidi="ar-SA"/>
        </w:rPr>
        <w:t>8.2.4</w:t>
      </w:r>
      <w:r>
        <w:rPr>
          <w:rFonts w:hint="eastAsia" w:ascii="Times New Roman" w:hAnsi="Times New Roman" w:cs="Times New Roman"/>
          <w:color w:val="auto"/>
          <w:kern w:val="2"/>
          <w:sz w:val="21"/>
          <w:szCs w:val="21"/>
          <w:lang w:val="en-US" w:eastAsia="zh-CN" w:bidi="ar"/>
        </w:rPr>
        <w:t xml:space="preserve"> 节能</w:t>
      </w:r>
      <w:r>
        <w:rPr>
          <w:rFonts w:hint="eastAsia" w:ascii="Times New Roman" w:hAnsi="Times New Roman" w:eastAsia="宋体" w:cs="Times New Roman"/>
          <w:color w:val="auto"/>
          <w:kern w:val="2"/>
          <w:sz w:val="21"/>
          <w:szCs w:val="21"/>
          <w:lang w:val="en-US" w:eastAsia="zh-CN" w:bidi="ar"/>
        </w:rPr>
        <w:t>评价结论为“不符合”</w:t>
      </w:r>
      <w:r>
        <w:rPr>
          <w:rFonts w:hint="eastAsia" w:ascii="Times New Roman" w:hAnsi="Times New Roman" w:cs="Times New Roman"/>
          <w:color w:val="auto"/>
          <w:kern w:val="2"/>
          <w:sz w:val="21"/>
          <w:szCs w:val="21"/>
          <w:lang w:val="en-US" w:eastAsia="zh-CN" w:bidi="ar"/>
        </w:rPr>
        <w:t>，</w:t>
      </w:r>
      <w:r>
        <w:rPr>
          <w:rFonts w:hint="eastAsia" w:ascii="Times New Roman" w:hAnsi="Times New Roman" w:eastAsia="宋体" w:cs="Times New Roman"/>
          <w:color w:val="auto"/>
          <w:kern w:val="2"/>
          <w:sz w:val="21"/>
          <w:szCs w:val="21"/>
          <w:lang w:val="en-US" w:eastAsia="zh-CN" w:bidi="ar"/>
        </w:rPr>
        <w:t>通过修理可以达到现行法规及标准</w:t>
      </w:r>
      <w:r>
        <w:rPr>
          <w:rFonts w:hint="eastAsia" w:ascii="Times New Roman" w:hAnsi="Times New Roman" w:cs="Times New Roman"/>
          <w:color w:val="auto"/>
          <w:kern w:val="2"/>
          <w:sz w:val="21"/>
          <w:szCs w:val="21"/>
          <w:lang w:val="en-US" w:eastAsia="zh-CN" w:bidi="ar"/>
        </w:rPr>
        <w:t>节能</w:t>
      </w:r>
      <w:r>
        <w:rPr>
          <w:rFonts w:hint="eastAsia" w:ascii="Times New Roman" w:hAnsi="Times New Roman" w:eastAsia="宋体" w:cs="Times New Roman"/>
          <w:color w:val="auto"/>
          <w:kern w:val="2"/>
          <w:sz w:val="21"/>
          <w:szCs w:val="21"/>
          <w:lang w:val="en-US" w:eastAsia="zh-CN" w:bidi="ar"/>
        </w:rPr>
        <w:t>要求的。</w:t>
      </w:r>
    </w:p>
    <w:p>
      <w:pPr>
        <w:pStyle w:val="26"/>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Autospacing="0" w:afterAutospacing="0" w:line="288" w:lineRule="auto"/>
        <w:ind w:left="0" w:leftChars="0" w:right="0" w:rightChars="0" w:firstLine="0" w:firstLineChars="0"/>
        <w:jc w:val="both"/>
        <w:textAlignment w:val="auto"/>
        <w:outlineLvl w:val="9"/>
        <w:rPr>
          <w:rFonts w:hint="eastAsia" w:ascii="Times New Roman" w:hAnsi="Times New Roman" w:eastAsia="宋体" w:cs="Times New Roman"/>
          <w:color w:val="auto"/>
          <w:kern w:val="2"/>
          <w:sz w:val="21"/>
          <w:szCs w:val="21"/>
          <w:lang w:val="en-US" w:eastAsia="zh-CN" w:bidi="ar"/>
        </w:rPr>
      </w:pPr>
      <w:r>
        <w:rPr>
          <w:rFonts w:hint="eastAsia" w:ascii="黑体" w:hAnsi="Times New Roman" w:eastAsia="黑体" w:cs="Times New Roman"/>
          <w:color w:val="auto"/>
          <w:sz w:val="21"/>
          <w:szCs w:val="22"/>
          <w:highlight w:val="none"/>
          <w:lang w:val="en-US" w:eastAsia="zh-CN" w:bidi="ar-SA"/>
        </w:rPr>
        <w:t xml:space="preserve">8.2.5 </w:t>
      </w:r>
      <w:r>
        <w:rPr>
          <w:rFonts w:hint="eastAsia" w:ascii="Times New Roman" w:hAnsi="Times New Roman" w:eastAsia="宋体" w:cs="Times New Roman"/>
          <w:color w:val="auto"/>
          <w:kern w:val="2"/>
          <w:sz w:val="21"/>
          <w:szCs w:val="21"/>
          <w:lang w:val="en-US" w:eastAsia="zh-CN" w:bidi="ar"/>
        </w:rPr>
        <w:t>环保评价结论为“不符合”</w:t>
      </w:r>
      <w:r>
        <w:rPr>
          <w:rFonts w:hint="eastAsia" w:ascii="Times New Roman" w:hAnsi="Times New Roman" w:cs="Times New Roman"/>
          <w:color w:val="auto"/>
          <w:kern w:val="2"/>
          <w:sz w:val="21"/>
          <w:szCs w:val="21"/>
          <w:lang w:val="en-US" w:eastAsia="zh-CN" w:bidi="ar"/>
        </w:rPr>
        <w:t>，</w:t>
      </w:r>
      <w:r>
        <w:rPr>
          <w:rFonts w:hint="eastAsia" w:ascii="Times New Roman" w:hAnsi="Times New Roman" w:eastAsia="宋体" w:cs="Times New Roman"/>
          <w:color w:val="auto"/>
          <w:kern w:val="2"/>
          <w:sz w:val="21"/>
          <w:szCs w:val="21"/>
          <w:lang w:val="en-US" w:eastAsia="zh-CN" w:bidi="ar"/>
        </w:rPr>
        <w:t>通过修理可以达到现行法规及标准</w:t>
      </w:r>
      <w:r>
        <w:rPr>
          <w:rFonts w:hint="eastAsia" w:ascii="Times New Roman" w:hAnsi="Times New Roman" w:cs="Times New Roman"/>
          <w:color w:val="auto"/>
          <w:kern w:val="2"/>
          <w:sz w:val="21"/>
          <w:szCs w:val="21"/>
          <w:lang w:val="en-US" w:eastAsia="zh-CN" w:bidi="ar"/>
        </w:rPr>
        <w:t>环保</w:t>
      </w:r>
      <w:r>
        <w:rPr>
          <w:rFonts w:hint="eastAsia" w:ascii="Times New Roman" w:hAnsi="Times New Roman" w:eastAsia="宋体" w:cs="Times New Roman"/>
          <w:color w:val="auto"/>
          <w:kern w:val="2"/>
          <w:sz w:val="21"/>
          <w:szCs w:val="21"/>
          <w:lang w:val="en-US" w:eastAsia="zh-CN" w:bidi="ar"/>
        </w:rPr>
        <w:t>要求的。</w:t>
      </w:r>
    </w:p>
    <w:p>
      <w:pPr>
        <w:pStyle w:val="59"/>
        <w:spacing w:line="288" w:lineRule="auto"/>
        <w:ind w:firstLine="0" w:firstLineChars="0"/>
        <w:rPr>
          <w:rFonts w:hint="eastAsia" w:ascii="Times New Roman" w:cs="宋体"/>
          <w:color w:val="auto"/>
          <w:highlight w:val="none"/>
          <w:lang w:val="en-US" w:eastAsia="zh-CN"/>
        </w:rPr>
      </w:pPr>
      <w:r>
        <w:rPr>
          <w:rFonts w:hint="eastAsia" w:ascii="黑体" w:eastAsia="黑体"/>
          <w:color w:val="auto"/>
          <w:szCs w:val="22"/>
          <w:highlight w:val="none"/>
          <w:lang w:val="en-US" w:eastAsia="zh-CN"/>
        </w:rPr>
        <w:t>8.3</w:t>
      </w:r>
      <w:r>
        <w:rPr>
          <w:rFonts w:hint="eastAsia" w:ascii="Times New Roman" w:cs="宋体"/>
          <w:color w:val="auto"/>
          <w:highlight w:val="none"/>
          <w:lang w:val="en-US" w:eastAsia="zh-CN"/>
        </w:rPr>
        <w:t xml:space="preserve"> 锅炉存在下列情况之一的，更新等级应为“改造”：</w:t>
      </w:r>
    </w:p>
    <w:p>
      <w:pPr>
        <w:pStyle w:val="59"/>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Autospacing="0" w:afterAutospacing="0" w:line="288" w:lineRule="auto"/>
        <w:ind w:right="0" w:rightChars="0"/>
        <w:jc w:val="both"/>
        <w:textAlignment w:val="auto"/>
        <w:outlineLvl w:val="9"/>
        <w:rPr>
          <w:rFonts w:hint="eastAsia" w:ascii="Times New Roman" w:hAnsi="Times New Roman" w:eastAsia="宋体" w:cs="Times New Roman"/>
          <w:color w:val="auto"/>
          <w:kern w:val="2"/>
          <w:sz w:val="21"/>
          <w:szCs w:val="21"/>
          <w:lang w:val="en-US" w:eastAsia="zh-CN" w:bidi="ar"/>
        </w:rPr>
      </w:pPr>
      <w:r>
        <w:rPr>
          <w:rFonts w:hint="eastAsia" w:ascii="黑体" w:eastAsia="黑体"/>
          <w:color w:val="auto"/>
          <w:szCs w:val="22"/>
          <w:highlight w:val="none"/>
          <w:lang w:val="en-US" w:eastAsia="zh-CN"/>
        </w:rPr>
        <w:t xml:space="preserve">8.3.1 </w:t>
      </w:r>
      <w:r>
        <w:rPr>
          <w:rFonts w:hint="eastAsia" w:ascii="Times New Roman" w:cs="宋体"/>
          <w:color w:val="auto"/>
          <w:highlight w:val="none"/>
          <w:lang w:val="en-US" w:eastAsia="zh-CN"/>
        </w:rPr>
        <w:t>资料评价结论为“不符合”，</w:t>
      </w:r>
      <w:r>
        <w:rPr>
          <w:rFonts w:hint="eastAsia" w:ascii="Times New Roman" w:hAnsi="Times New Roman" w:eastAsia="宋体" w:cs="Times New Roman"/>
          <w:color w:val="auto"/>
          <w:kern w:val="2"/>
          <w:sz w:val="21"/>
          <w:szCs w:val="21"/>
          <w:lang w:val="en-US" w:eastAsia="zh-CN" w:bidi="ar"/>
        </w:rPr>
        <w:t>通过改造可达到现行法规及标准要求的。</w:t>
      </w:r>
    </w:p>
    <w:p>
      <w:pPr>
        <w:pStyle w:val="26"/>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Autospacing="0" w:afterAutospacing="0" w:line="288" w:lineRule="auto"/>
        <w:ind w:leftChars="0" w:right="0" w:rightChars="0"/>
        <w:jc w:val="both"/>
        <w:textAlignment w:val="auto"/>
        <w:outlineLvl w:val="9"/>
        <w:rPr>
          <w:rFonts w:hint="eastAsia" w:ascii="Times New Roman" w:hAnsi="Times New Roman" w:eastAsia="宋体" w:cs="Times New Roman"/>
          <w:color w:val="auto"/>
          <w:kern w:val="2"/>
          <w:sz w:val="21"/>
          <w:szCs w:val="21"/>
          <w:lang w:val="en-US" w:eastAsia="zh-CN" w:bidi="ar"/>
        </w:rPr>
      </w:pPr>
      <w:r>
        <w:rPr>
          <w:rFonts w:hint="eastAsia" w:ascii="黑体" w:hAnsi="Times New Roman" w:eastAsia="黑体" w:cs="Times New Roman"/>
          <w:color w:val="auto"/>
          <w:sz w:val="21"/>
          <w:szCs w:val="22"/>
          <w:highlight w:val="none"/>
          <w:lang w:val="en-US" w:eastAsia="zh-CN" w:bidi="ar-SA"/>
        </w:rPr>
        <w:t xml:space="preserve">8.3.2 </w:t>
      </w:r>
      <w:r>
        <w:rPr>
          <w:rFonts w:hint="eastAsia" w:ascii="Times New Roman" w:hAnsi="Times New Roman" w:cs="Times New Roman"/>
          <w:color w:val="auto"/>
          <w:kern w:val="2"/>
          <w:sz w:val="21"/>
          <w:szCs w:val="21"/>
          <w:lang w:val="en-US" w:eastAsia="zh-CN" w:bidi="ar"/>
        </w:rPr>
        <w:t>安全评价结论为“不符合”，</w:t>
      </w:r>
      <w:r>
        <w:rPr>
          <w:rFonts w:hint="eastAsia" w:ascii="Times New Roman" w:hAnsi="Times New Roman" w:eastAsia="宋体" w:cs="Times New Roman"/>
          <w:color w:val="auto"/>
          <w:kern w:val="2"/>
          <w:sz w:val="21"/>
          <w:szCs w:val="21"/>
          <w:lang w:val="en-US" w:eastAsia="zh-CN" w:bidi="ar"/>
        </w:rPr>
        <w:t>通过</w:t>
      </w:r>
      <w:r>
        <w:rPr>
          <w:rFonts w:hint="eastAsia" w:ascii="Times New Roman" w:hAnsi="Times New Roman" w:cs="Times New Roman"/>
          <w:color w:val="auto"/>
          <w:kern w:val="2"/>
          <w:sz w:val="21"/>
          <w:szCs w:val="21"/>
          <w:lang w:val="en-US" w:eastAsia="zh-CN" w:bidi="ar"/>
        </w:rPr>
        <w:t>改造</w:t>
      </w:r>
      <w:r>
        <w:rPr>
          <w:rFonts w:hint="eastAsia" w:ascii="Times New Roman" w:hAnsi="Times New Roman" w:eastAsia="宋体" w:cs="Times New Roman"/>
          <w:color w:val="auto"/>
          <w:kern w:val="2"/>
          <w:sz w:val="21"/>
          <w:szCs w:val="21"/>
          <w:lang w:val="en-US" w:eastAsia="zh-CN" w:bidi="ar"/>
        </w:rPr>
        <w:t>可以达到现行法规及标准</w:t>
      </w:r>
      <w:r>
        <w:rPr>
          <w:rFonts w:hint="eastAsia" w:ascii="Times New Roman" w:hAnsi="Times New Roman" w:cs="Times New Roman"/>
          <w:color w:val="auto"/>
          <w:kern w:val="2"/>
          <w:sz w:val="21"/>
          <w:szCs w:val="21"/>
          <w:lang w:val="en-US" w:eastAsia="zh-CN" w:bidi="ar"/>
        </w:rPr>
        <w:t>安全</w:t>
      </w:r>
      <w:r>
        <w:rPr>
          <w:rFonts w:hint="eastAsia" w:ascii="Times New Roman" w:hAnsi="Times New Roman" w:eastAsia="宋体" w:cs="Times New Roman"/>
          <w:color w:val="auto"/>
          <w:kern w:val="2"/>
          <w:sz w:val="21"/>
          <w:szCs w:val="21"/>
          <w:lang w:val="en-US" w:eastAsia="zh-CN" w:bidi="ar"/>
        </w:rPr>
        <w:t>要求的。</w:t>
      </w:r>
    </w:p>
    <w:p>
      <w:pPr>
        <w:pStyle w:val="26"/>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Autospacing="0" w:afterAutospacing="0" w:line="288" w:lineRule="auto"/>
        <w:ind w:leftChars="0" w:right="0" w:rightChars="0"/>
        <w:jc w:val="both"/>
        <w:textAlignment w:val="auto"/>
        <w:outlineLvl w:val="9"/>
        <w:rPr>
          <w:rFonts w:hint="eastAsia" w:ascii="Times New Roman" w:hAnsi="Times New Roman" w:eastAsia="宋体" w:cs="Times New Roman"/>
          <w:color w:val="auto"/>
          <w:kern w:val="2"/>
          <w:sz w:val="21"/>
          <w:szCs w:val="21"/>
          <w:lang w:val="en-US" w:eastAsia="zh-CN" w:bidi="ar"/>
        </w:rPr>
      </w:pPr>
      <w:r>
        <w:rPr>
          <w:rFonts w:hint="eastAsia" w:ascii="黑体" w:hAnsi="Times New Roman" w:eastAsia="黑体" w:cs="Times New Roman"/>
          <w:color w:val="auto"/>
          <w:kern w:val="2"/>
          <w:sz w:val="21"/>
          <w:szCs w:val="22"/>
          <w:highlight w:val="none"/>
          <w:lang w:val="en-US" w:eastAsia="zh-CN" w:bidi="ar-SA"/>
        </w:rPr>
        <w:t xml:space="preserve">8.3.3 </w:t>
      </w:r>
      <w:r>
        <w:rPr>
          <w:rFonts w:hint="eastAsia" w:ascii="Times New Roman" w:hAnsi="Times New Roman" w:cs="Times New Roman"/>
          <w:color w:val="auto"/>
          <w:kern w:val="2"/>
          <w:sz w:val="21"/>
          <w:szCs w:val="21"/>
          <w:lang w:val="en-US" w:eastAsia="zh-CN" w:bidi="ar"/>
        </w:rPr>
        <w:t>寿命评价结论为“寿命结束”，</w:t>
      </w:r>
      <w:r>
        <w:rPr>
          <w:rFonts w:hint="eastAsia" w:ascii="Times New Roman" w:hAnsi="Times New Roman" w:eastAsia="宋体" w:cs="Times New Roman"/>
          <w:color w:val="auto"/>
          <w:kern w:val="2"/>
          <w:sz w:val="21"/>
          <w:szCs w:val="21"/>
          <w:lang w:val="en-US" w:eastAsia="zh-CN" w:bidi="ar"/>
        </w:rPr>
        <w:t>通过</w:t>
      </w:r>
      <w:r>
        <w:rPr>
          <w:rFonts w:hint="eastAsia" w:ascii="Times New Roman" w:hAnsi="Times New Roman" w:cs="Times New Roman"/>
          <w:color w:val="auto"/>
          <w:kern w:val="2"/>
          <w:sz w:val="21"/>
          <w:szCs w:val="21"/>
          <w:lang w:val="en-US" w:eastAsia="zh-CN" w:bidi="ar"/>
        </w:rPr>
        <w:t>改造</w:t>
      </w:r>
      <w:r>
        <w:rPr>
          <w:rFonts w:hint="eastAsia" w:ascii="Times New Roman" w:hAnsi="Times New Roman" w:eastAsia="宋体" w:cs="Times New Roman"/>
          <w:color w:val="auto"/>
          <w:kern w:val="2"/>
          <w:sz w:val="21"/>
          <w:szCs w:val="21"/>
          <w:lang w:val="en-US" w:eastAsia="zh-CN" w:bidi="ar"/>
        </w:rPr>
        <w:t>可以达到现行法规及标准</w:t>
      </w:r>
      <w:r>
        <w:rPr>
          <w:rFonts w:hint="eastAsia" w:ascii="Times New Roman" w:hAnsi="Times New Roman" w:cs="Times New Roman"/>
          <w:color w:val="auto"/>
          <w:kern w:val="2"/>
          <w:sz w:val="21"/>
          <w:szCs w:val="21"/>
          <w:lang w:val="en-US" w:eastAsia="zh-CN" w:bidi="ar"/>
        </w:rPr>
        <w:t>寿命</w:t>
      </w:r>
      <w:r>
        <w:rPr>
          <w:rFonts w:hint="eastAsia" w:ascii="Times New Roman" w:hAnsi="Times New Roman" w:eastAsia="宋体" w:cs="Times New Roman"/>
          <w:color w:val="auto"/>
          <w:kern w:val="2"/>
          <w:sz w:val="21"/>
          <w:szCs w:val="21"/>
          <w:lang w:val="en-US" w:eastAsia="zh-CN" w:bidi="ar"/>
        </w:rPr>
        <w:t>要求的。</w:t>
      </w:r>
    </w:p>
    <w:p>
      <w:pPr>
        <w:pStyle w:val="26"/>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Autospacing="0" w:afterAutospacing="0" w:line="288" w:lineRule="auto"/>
        <w:ind w:left="0" w:leftChars="0" w:right="0" w:rightChars="0" w:firstLine="0" w:firstLineChars="0"/>
        <w:jc w:val="both"/>
        <w:textAlignment w:val="auto"/>
        <w:outlineLvl w:val="9"/>
        <w:rPr>
          <w:rFonts w:hint="eastAsia" w:ascii="Times New Roman" w:hAnsi="Times New Roman" w:eastAsia="宋体" w:cs="Times New Roman"/>
          <w:color w:val="auto"/>
          <w:kern w:val="2"/>
          <w:sz w:val="21"/>
          <w:szCs w:val="21"/>
          <w:lang w:val="en-US" w:eastAsia="zh-CN" w:bidi="ar"/>
        </w:rPr>
      </w:pPr>
      <w:r>
        <w:rPr>
          <w:rFonts w:hint="eastAsia" w:ascii="黑体" w:hAnsi="Times New Roman" w:eastAsia="黑体" w:cs="Times New Roman"/>
          <w:color w:val="auto"/>
          <w:sz w:val="21"/>
          <w:szCs w:val="22"/>
          <w:highlight w:val="none"/>
          <w:lang w:val="en-US" w:eastAsia="zh-CN" w:bidi="ar-SA"/>
        </w:rPr>
        <w:t xml:space="preserve">8.3.4 </w:t>
      </w:r>
      <w:r>
        <w:rPr>
          <w:rFonts w:hint="eastAsia" w:ascii="Times New Roman" w:hAnsi="Times New Roman" w:cs="Times New Roman"/>
          <w:color w:val="auto"/>
          <w:kern w:val="2"/>
          <w:sz w:val="21"/>
          <w:szCs w:val="21"/>
          <w:lang w:val="en-US" w:eastAsia="zh-CN" w:bidi="ar"/>
        </w:rPr>
        <w:t>节能</w:t>
      </w:r>
      <w:r>
        <w:rPr>
          <w:rFonts w:hint="eastAsia" w:ascii="Times New Roman" w:hAnsi="Times New Roman" w:eastAsia="宋体" w:cs="Times New Roman"/>
          <w:color w:val="auto"/>
          <w:kern w:val="2"/>
          <w:sz w:val="21"/>
          <w:szCs w:val="21"/>
          <w:lang w:val="en-US" w:eastAsia="zh-CN" w:bidi="ar"/>
        </w:rPr>
        <w:t>评价结论为“不符合”</w:t>
      </w:r>
      <w:r>
        <w:rPr>
          <w:rFonts w:hint="eastAsia" w:ascii="Times New Roman" w:hAnsi="Times New Roman" w:cs="Times New Roman"/>
          <w:color w:val="auto"/>
          <w:kern w:val="2"/>
          <w:sz w:val="21"/>
          <w:szCs w:val="21"/>
          <w:lang w:val="en-US" w:eastAsia="zh-CN" w:bidi="ar"/>
        </w:rPr>
        <w:t>，</w:t>
      </w:r>
      <w:r>
        <w:rPr>
          <w:rFonts w:hint="eastAsia" w:ascii="Times New Roman" w:hAnsi="Times New Roman" w:eastAsia="宋体" w:cs="Times New Roman"/>
          <w:color w:val="auto"/>
          <w:kern w:val="2"/>
          <w:sz w:val="21"/>
          <w:szCs w:val="21"/>
          <w:lang w:val="en-US" w:eastAsia="zh-CN" w:bidi="ar"/>
        </w:rPr>
        <w:t>通过</w:t>
      </w:r>
      <w:r>
        <w:rPr>
          <w:rFonts w:hint="eastAsia" w:ascii="Times New Roman" w:hAnsi="Times New Roman" w:cs="Times New Roman"/>
          <w:color w:val="auto"/>
          <w:kern w:val="2"/>
          <w:sz w:val="21"/>
          <w:szCs w:val="21"/>
          <w:lang w:val="en-US" w:eastAsia="zh-CN" w:bidi="ar"/>
        </w:rPr>
        <w:t>改造</w:t>
      </w:r>
      <w:r>
        <w:rPr>
          <w:rFonts w:hint="eastAsia" w:ascii="Times New Roman" w:hAnsi="Times New Roman" w:eastAsia="宋体" w:cs="Times New Roman"/>
          <w:color w:val="auto"/>
          <w:kern w:val="2"/>
          <w:sz w:val="21"/>
          <w:szCs w:val="21"/>
          <w:lang w:val="en-US" w:eastAsia="zh-CN" w:bidi="ar"/>
        </w:rPr>
        <w:t>可以达到现行法规及标准</w:t>
      </w:r>
      <w:r>
        <w:rPr>
          <w:rFonts w:hint="eastAsia" w:ascii="Times New Roman" w:hAnsi="Times New Roman" w:cs="Times New Roman"/>
          <w:color w:val="auto"/>
          <w:kern w:val="2"/>
          <w:sz w:val="21"/>
          <w:szCs w:val="21"/>
          <w:lang w:val="en-US" w:eastAsia="zh-CN" w:bidi="ar"/>
        </w:rPr>
        <w:t>节能</w:t>
      </w:r>
      <w:r>
        <w:rPr>
          <w:rFonts w:hint="eastAsia" w:ascii="Times New Roman" w:hAnsi="Times New Roman" w:eastAsia="宋体" w:cs="Times New Roman"/>
          <w:color w:val="auto"/>
          <w:kern w:val="2"/>
          <w:sz w:val="21"/>
          <w:szCs w:val="21"/>
          <w:lang w:val="en-US" w:eastAsia="zh-CN" w:bidi="ar"/>
        </w:rPr>
        <w:t>要求的。</w:t>
      </w:r>
    </w:p>
    <w:p>
      <w:pPr>
        <w:pStyle w:val="26"/>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Autospacing="0" w:afterAutospacing="0" w:line="288" w:lineRule="auto"/>
        <w:ind w:left="0" w:leftChars="0" w:right="0" w:rightChars="0" w:firstLine="0" w:firstLineChars="0"/>
        <w:jc w:val="both"/>
        <w:textAlignment w:val="auto"/>
        <w:outlineLvl w:val="9"/>
        <w:rPr>
          <w:rFonts w:hint="eastAsia" w:ascii="Times New Roman" w:hAnsi="Times New Roman" w:eastAsia="宋体" w:cs="Times New Roman"/>
          <w:color w:val="auto"/>
          <w:kern w:val="2"/>
          <w:sz w:val="21"/>
          <w:szCs w:val="21"/>
          <w:lang w:val="en-US" w:eastAsia="zh-CN" w:bidi="ar"/>
        </w:rPr>
      </w:pPr>
      <w:r>
        <w:rPr>
          <w:rFonts w:hint="eastAsia" w:ascii="黑体" w:hAnsi="Times New Roman" w:eastAsia="黑体" w:cs="Times New Roman"/>
          <w:color w:val="auto"/>
          <w:sz w:val="21"/>
          <w:szCs w:val="22"/>
          <w:highlight w:val="none"/>
          <w:lang w:val="en-US" w:eastAsia="zh-CN" w:bidi="ar-SA"/>
        </w:rPr>
        <w:t xml:space="preserve">8.3.5 </w:t>
      </w:r>
      <w:r>
        <w:rPr>
          <w:rFonts w:hint="eastAsia" w:ascii="Times New Roman" w:hAnsi="Times New Roman" w:eastAsia="宋体" w:cs="Times New Roman"/>
          <w:color w:val="auto"/>
          <w:kern w:val="2"/>
          <w:sz w:val="21"/>
          <w:szCs w:val="21"/>
          <w:lang w:val="en-US" w:eastAsia="zh-CN" w:bidi="ar"/>
        </w:rPr>
        <w:t>环保评价结论为“不符合”</w:t>
      </w:r>
      <w:r>
        <w:rPr>
          <w:rFonts w:hint="eastAsia" w:ascii="Times New Roman" w:hAnsi="Times New Roman" w:cs="Times New Roman"/>
          <w:color w:val="auto"/>
          <w:kern w:val="2"/>
          <w:sz w:val="21"/>
          <w:szCs w:val="21"/>
          <w:lang w:val="en-US" w:eastAsia="zh-CN" w:bidi="ar"/>
        </w:rPr>
        <w:t>，</w:t>
      </w:r>
      <w:r>
        <w:rPr>
          <w:rFonts w:hint="eastAsia" w:ascii="Times New Roman" w:hAnsi="Times New Roman" w:eastAsia="宋体" w:cs="Times New Roman"/>
          <w:color w:val="auto"/>
          <w:kern w:val="2"/>
          <w:sz w:val="21"/>
          <w:szCs w:val="21"/>
          <w:lang w:val="en-US" w:eastAsia="zh-CN" w:bidi="ar"/>
        </w:rPr>
        <w:t>通过</w:t>
      </w:r>
      <w:r>
        <w:rPr>
          <w:rFonts w:hint="eastAsia" w:ascii="Times New Roman" w:hAnsi="Times New Roman" w:cs="Times New Roman"/>
          <w:color w:val="auto"/>
          <w:kern w:val="2"/>
          <w:sz w:val="21"/>
          <w:szCs w:val="21"/>
          <w:lang w:val="en-US" w:eastAsia="zh-CN" w:bidi="ar"/>
        </w:rPr>
        <w:t>改造</w:t>
      </w:r>
      <w:r>
        <w:rPr>
          <w:rFonts w:hint="eastAsia" w:ascii="Times New Roman" w:hAnsi="Times New Roman" w:eastAsia="宋体" w:cs="Times New Roman"/>
          <w:color w:val="auto"/>
          <w:kern w:val="2"/>
          <w:sz w:val="21"/>
          <w:szCs w:val="21"/>
          <w:lang w:val="en-US" w:eastAsia="zh-CN" w:bidi="ar"/>
        </w:rPr>
        <w:t>可以达到现行法规及标准</w:t>
      </w:r>
      <w:r>
        <w:rPr>
          <w:rFonts w:hint="eastAsia" w:ascii="Times New Roman" w:hAnsi="Times New Roman" w:cs="Times New Roman"/>
          <w:color w:val="auto"/>
          <w:kern w:val="2"/>
          <w:sz w:val="21"/>
          <w:szCs w:val="21"/>
          <w:lang w:val="en-US" w:eastAsia="zh-CN" w:bidi="ar"/>
        </w:rPr>
        <w:t>环保</w:t>
      </w:r>
      <w:r>
        <w:rPr>
          <w:rFonts w:hint="eastAsia" w:ascii="Times New Roman" w:hAnsi="Times New Roman" w:eastAsia="宋体" w:cs="Times New Roman"/>
          <w:color w:val="auto"/>
          <w:kern w:val="2"/>
          <w:sz w:val="21"/>
          <w:szCs w:val="21"/>
          <w:lang w:val="en-US" w:eastAsia="zh-CN" w:bidi="ar"/>
        </w:rPr>
        <w:t>要求的。</w:t>
      </w:r>
    </w:p>
    <w:p>
      <w:pPr>
        <w:pStyle w:val="59"/>
        <w:spacing w:line="288" w:lineRule="auto"/>
        <w:ind w:firstLine="0" w:firstLineChars="0"/>
        <w:rPr>
          <w:rFonts w:hint="eastAsia" w:ascii="Times New Roman" w:cs="宋体"/>
          <w:color w:val="000000" w:themeColor="text1"/>
          <w:highlight w:val="none"/>
          <w:lang w:val="en-US" w:eastAsia="zh-CN"/>
          <w14:textFill>
            <w14:solidFill>
              <w14:schemeClr w14:val="tx1"/>
            </w14:solidFill>
          </w14:textFill>
        </w:rPr>
      </w:pPr>
      <w:r>
        <w:rPr>
          <w:rFonts w:hint="eastAsia" w:ascii="黑体" w:eastAsia="黑体"/>
          <w:color w:val="auto"/>
          <w:szCs w:val="22"/>
          <w:highlight w:val="none"/>
          <w:lang w:val="en-US" w:eastAsia="zh-CN"/>
        </w:rPr>
        <w:t>8.4</w:t>
      </w:r>
      <w:r>
        <w:rPr>
          <w:rFonts w:hint="eastAsia" w:ascii="Times New Roman" w:cs="宋体"/>
          <w:color w:val="auto"/>
          <w:highlight w:val="none"/>
          <w:lang w:val="en-US" w:eastAsia="zh-CN"/>
        </w:rPr>
        <w:t xml:space="preserve"> 锅炉存在下列情况之一的，更新等级应为“换新”：</w:t>
      </w:r>
    </w:p>
    <w:p>
      <w:pPr>
        <w:pStyle w:val="26"/>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Autospacing="0" w:afterAutospacing="0" w:line="288" w:lineRule="auto"/>
        <w:ind w:left="0" w:leftChars="0" w:right="0" w:rightChars="0" w:firstLine="0" w:firstLineChars="0"/>
        <w:jc w:val="both"/>
        <w:textAlignment w:val="auto"/>
        <w:outlineLvl w:val="9"/>
        <w:rPr>
          <w:rFonts w:hint="eastAsia" w:ascii="Times New Roman" w:hAnsi="Times New Roman" w:cs="Times New Roman"/>
          <w:color w:val="auto"/>
          <w:kern w:val="2"/>
          <w:sz w:val="21"/>
          <w:szCs w:val="21"/>
          <w:lang w:val="en-US" w:eastAsia="zh-CN" w:bidi="ar"/>
        </w:rPr>
      </w:pPr>
      <w:r>
        <w:rPr>
          <w:rFonts w:hint="eastAsia" w:ascii="黑体" w:hAnsi="Times New Roman" w:eastAsia="黑体" w:cs="Times New Roman"/>
          <w:color w:val="auto"/>
          <w:sz w:val="21"/>
          <w:szCs w:val="22"/>
          <w:highlight w:val="none"/>
          <w:lang w:val="en-US" w:eastAsia="zh-CN" w:bidi="ar-SA"/>
        </w:rPr>
        <w:t xml:space="preserve">8.4.1 </w:t>
      </w:r>
      <w:r>
        <w:rPr>
          <w:rFonts w:hint="eastAsia" w:ascii="Times New Roman" w:hAnsi="Times New Roman" w:cs="Times New Roman"/>
          <w:color w:val="auto"/>
          <w:sz w:val="21"/>
          <w:highlight w:val="none"/>
          <w:lang w:val="en-US" w:eastAsia="zh-CN" w:bidi="ar"/>
        </w:rPr>
        <w:t>资料评价结论为“不符合”，</w:t>
      </w:r>
      <w:r>
        <w:rPr>
          <w:rFonts w:hint="eastAsia" w:ascii="Times New Roman" w:hAnsi="Times New Roman" w:cs="Times New Roman"/>
          <w:kern w:val="2"/>
          <w:sz w:val="21"/>
          <w:szCs w:val="21"/>
          <w:lang w:val="en-US" w:eastAsia="zh-CN" w:bidi="ar"/>
        </w:rPr>
        <w:t>且不能通过修理或改造</w:t>
      </w:r>
      <w:r>
        <w:rPr>
          <w:rFonts w:hint="eastAsia" w:ascii="Times New Roman" w:hAnsi="Times New Roman" w:eastAsia="宋体" w:cs="Times New Roman"/>
          <w:color w:val="auto"/>
          <w:kern w:val="2"/>
          <w:sz w:val="21"/>
          <w:szCs w:val="21"/>
          <w:lang w:val="en-US" w:eastAsia="zh-CN" w:bidi="ar"/>
        </w:rPr>
        <w:t>达到现行法规及标准要求的</w:t>
      </w:r>
      <w:r>
        <w:rPr>
          <w:rFonts w:hint="eastAsia" w:ascii="Times New Roman" w:hAnsi="Times New Roman" w:cs="Times New Roman"/>
          <w:kern w:val="2"/>
          <w:sz w:val="21"/>
          <w:szCs w:val="21"/>
          <w:lang w:val="en-US" w:eastAsia="zh-CN" w:bidi="ar"/>
        </w:rPr>
        <w:t>。</w:t>
      </w:r>
    </w:p>
    <w:p>
      <w:pPr>
        <w:pStyle w:val="26"/>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Autospacing="0" w:afterAutospacing="0" w:line="288" w:lineRule="auto"/>
        <w:ind w:leftChars="0" w:right="0" w:rightChars="0"/>
        <w:jc w:val="both"/>
        <w:textAlignment w:val="auto"/>
        <w:outlineLvl w:val="9"/>
        <w:rPr>
          <w:rFonts w:hint="eastAsia" w:ascii="Times New Roman" w:hAnsi="Times New Roman" w:eastAsia="宋体" w:cs="Times New Roman"/>
          <w:color w:val="auto"/>
          <w:kern w:val="2"/>
          <w:sz w:val="21"/>
          <w:szCs w:val="21"/>
          <w:lang w:val="en-US" w:eastAsia="zh-CN" w:bidi="ar"/>
        </w:rPr>
      </w:pPr>
      <w:r>
        <w:rPr>
          <w:rFonts w:hint="eastAsia" w:ascii="黑体" w:hAnsi="Times New Roman" w:eastAsia="黑体" w:cs="Times New Roman"/>
          <w:color w:val="auto"/>
          <w:sz w:val="21"/>
          <w:szCs w:val="22"/>
          <w:highlight w:val="none"/>
          <w:lang w:val="en-US" w:eastAsia="zh-CN" w:bidi="ar-SA"/>
        </w:rPr>
        <w:t xml:space="preserve">8.4.2 </w:t>
      </w:r>
      <w:r>
        <w:rPr>
          <w:rFonts w:hint="eastAsia" w:ascii="Times New Roman" w:hAnsi="Times New Roman" w:cs="Times New Roman"/>
          <w:color w:val="auto"/>
          <w:kern w:val="2"/>
          <w:sz w:val="21"/>
          <w:szCs w:val="21"/>
          <w:lang w:val="en-US" w:eastAsia="zh-CN" w:bidi="ar"/>
        </w:rPr>
        <w:t>安全评价结论为“不符合”，</w:t>
      </w:r>
      <w:r>
        <w:rPr>
          <w:rFonts w:hint="eastAsia" w:ascii="Times New Roman" w:hAnsi="Times New Roman" w:cs="Times New Roman"/>
          <w:kern w:val="2"/>
          <w:sz w:val="21"/>
          <w:szCs w:val="21"/>
          <w:lang w:val="en-US" w:eastAsia="zh-CN" w:bidi="ar"/>
        </w:rPr>
        <w:t>且不能通过修理或改造</w:t>
      </w:r>
      <w:r>
        <w:rPr>
          <w:rFonts w:hint="eastAsia" w:ascii="Times New Roman" w:hAnsi="Times New Roman" w:eastAsia="宋体" w:cs="Times New Roman"/>
          <w:kern w:val="2"/>
          <w:sz w:val="21"/>
          <w:szCs w:val="21"/>
          <w:lang w:val="en-US" w:eastAsia="zh-CN" w:bidi="ar"/>
        </w:rPr>
        <w:t>达到现行法规及标准</w:t>
      </w:r>
      <w:r>
        <w:rPr>
          <w:rFonts w:hint="eastAsia" w:ascii="Times New Roman" w:hAnsi="Times New Roman" w:cs="Times New Roman"/>
          <w:kern w:val="2"/>
          <w:sz w:val="21"/>
          <w:szCs w:val="21"/>
          <w:lang w:val="en-US" w:eastAsia="zh-CN" w:bidi="ar"/>
        </w:rPr>
        <w:t>安全</w:t>
      </w:r>
      <w:r>
        <w:rPr>
          <w:rFonts w:hint="eastAsia" w:ascii="Times New Roman" w:hAnsi="Times New Roman" w:eastAsia="宋体" w:cs="Times New Roman"/>
          <w:kern w:val="2"/>
          <w:sz w:val="21"/>
          <w:szCs w:val="21"/>
          <w:lang w:val="en-US" w:eastAsia="zh-CN" w:bidi="ar"/>
        </w:rPr>
        <w:t>要求的</w:t>
      </w:r>
      <w:r>
        <w:rPr>
          <w:rFonts w:hint="eastAsia" w:ascii="Times New Roman" w:hAnsi="Times New Roman" w:eastAsia="宋体" w:cs="Times New Roman"/>
          <w:color w:val="auto"/>
          <w:kern w:val="2"/>
          <w:sz w:val="21"/>
          <w:szCs w:val="21"/>
          <w:lang w:val="en-US" w:eastAsia="zh-CN" w:bidi="ar"/>
        </w:rPr>
        <w:t>。</w:t>
      </w:r>
    </w:p>
    <w:p>
      <w:pPr>
        <w:pStyle w:val="26"/>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Autospacing="0" w:afterAutospacing="0" w:line="288" w:lineRule="auto"/>
        <w:ind w:leftChars="0" w:right="0" w:rightChars="0"/>
        <w:jc w:val="both"/>
        <w:textAlignment w:val="auto"/>
        <w:outlineLvl w:val="9"/>
        <w:rPr>
          <w:rFonts w:hint="eastAsia" w:ascii="Times New Roman" w:hAnsi="Times New Roman" w:eastAsia="宋体" w:cs="Times New Roman"/>
          <w:color w:val="auto"/>
          <w:kern w:val="2"/>
          <w:sz w:val="21"/>
          <w:szCs w:val="21"/>
          <w:lang w:val="en-US" w:eastAsia="zh-CN" w:bidi="ar"/>
        </w:rPr>
      </w:pPr>
      <w:r>
        <w:rPr>
          <w:rFonts w:hint="eastAsia" w:ascii="黑体" w:hAnsi="Times New Roman" w:eastAsia="黑体" w:cs="Times New Roman"/>
          <w:color w:val="auto"/>
          <w:sz w:val="21"/>
          <w:szCs w:val="22"/>
          <w:highlight w:val="none"/>
          <w:lang w:val="en-US" w:eastAsia="zh-CN" w:bidi="ar-SA"/>
        </w:rPr>
        <w:t xml:space="preserve">8.4.3 </w:t>
      </w:r>
      <w:r>
        <w:rPr>
          <w:rFonts w:hint="eastAsia" w:ascii="Times New Roman" w:hAnsi="Times New Roman" w:cs="Times New Roman"/>
          <w:kern w:val="2"/>
          <w:sz w:val="21"/>
          <w:szCs w:val="21"/>
          <w:lang w:val="en-US" w:eastAsia="zh-CN" w:bidi="ar"/>
        </w:rPr>
        <w:t>寿命</w:t>
      </w:r>
      <w:r>
        <w:rPr>
          <w:rFonts w:hint="eastAsia" w:ascii="Times New Roman" w:hAnsi="Times New Roman" w:eastAsia="宋体" w:cs="Times New Roman"/>
          <w:kern w:val="2"/>
          <w:sz w:val="21"/>
          <w:szCs w:val="21"/>
          <w:lang w:val="en-US" w:eastAsia="zh-CN" w:bidi="ar"/>
        </w:rPr>
        <w:t>评</w:t>
      </w:r>
      <w:r>
        <w:rPr>
          <w:rFonts w:hint="eastAsia" w:ascii="Times New Roman" w:hAnsi="Times New Roman" w:cs="Times New Roman"/>
          <w:kern w:val="2"/>
          <w:sz w:val="21"/>
          <w:szCs w:val="21"/>
          <w:lang w:val="en-US" w:eastAsia="zh-CN" w:bidi="ar"/>
        </w:rPr>
        <w:t>价</w:t>
      </w:r>
      <w:r>
        <w:rPr>
          <w:rFonts w:hint="eastAsia" w:ascii="Times New Roman" w:hAnsi="Times New Roman" w:eastAsia="宋体" w:cs="Times New Roman"/>
          <w:kern w:val="2"/>
          <w:sz w:val="21"/>
          <w:szCs w:val="21"/>
          <w:lang w:val="en-US" w:eastAsia="zh-CN" w:bidi="ar"/>
        </w:rPr>
        <w:t>结论为“寿命结束”的</w:t>
      </w:r>
      <w:r>
        <w:rPr>
          <w:rFonts w:hint="eastAsia" w:ascii="Times New Roman" w:hAnsi="Times New Roman" w:cs="Times New Roman"/>
          <w:kern w:val="2"/>
          <w:sz w:val="21"/>
          <w:szCs w:val="21"/>
          <w:lang w:val="en-US" w:eastAsia="zh-CN" w:bidi="ar"/>
        </w:rPr>
        <w:t>，且不能通过修理或改造</w:t>
      </w:r>
      <w:r>
        <w:rPr>
          <w:rFonts w:hint="eastAsia" w:ascii="Times New Roman" w:hAnsi="Times New Roman" w:eastAsia="宋体" w:cs="Times New Roman"/>
          <w:color w:val="auto"/>
          <w:kern w:val="2"/>
          <w:sz w:val="21"/>
          <w:szCs w:val="21"/>
          <w:lang w:val="en-US" w:eastAsia="zh-CN" w:bidi="ar"/>
        </w:rPr>
        <w:t>达到现行法规及标准</w:t>
      </w:r>
      <w:r>
        <w:rPr>
          <w:rFonts w:hint="eastAsia" w:ascii="Times New Roman" w:hAnsi="Times New Roman" w:cs="Times New Roman"/>
          <w:color w:val="auto"/>
          <w:kern w:val="2"/>
          <w:sz w:val="21"/>
          <w:szCs w:val="21"/>
          <w:lang w:val="en-US" w:eastAsia="zh-CN" w:bidi="ar"/>
        </w:rPr>
        <w:t>寿命</w:t>
      </w:r>
      <w:r>
        <w:rPr>
          <w:rFonts w:hint="eastAsia" w:ascii="Times New Roman" w:hAnsi="Times New Roman" w:eastAsia="宋体" w:cs="Times New Roman"/>
          <w:color w:val="auto"/>
          <w:kern w:val="2"/>
          <w:sz w:val="21"/>
          <w:szCs w:val="21"/>
          <w:lang w:val="en-US" w:eastAsia="zh-CN" w:bidi="ar"/>
        </w:rPr>
        <w:t>要求的</w:t>
      </w:r>
      <w:r>
        <w:rPr>
          <w:rFonts w:hint="eastAsia" w:ascii="Times New Roman" w:hAnsi="Times New Roman" w:cs="Times New Roman"/>
          <w:color w:val="auto"/>
          <w:kern w:val="2"/>
          <w:sz w:val="21"/>
          <w:szCs w:val="21"/>
          <w:lang w:val="en-US" w:eastAsia="zh-CN" w:bidi="ar"/>
        </w:rPr>
        <w:t>。</w:t>
      </w:r>
    </w:p>
    <w:p>
      <w:pPr>
        <w:pStyle w:val="26"/>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Autospacing="0" w:afterAutospacing="0" w:line="288" w:lineRule="auto"/>
        <w:ind w:left="0" w:leftChars="0" w:right="0" w:rightChars="0" w:firstLine="0" w:firstLineChars="0"/>
        <w:jc w:val="both"/>
        <w:textAlignment w:val="auto"/>
        <w:outlineLvl w:val="9"/>
        <w:rPr>
          <w:rFonts w:hint="eastAsia" w:ascii="Times New Roman" w:hAnsi="Times New Roman" w:eastAsia="宋体" w:cs="Times New Roman"/>
          <w:color w:val="auto"/>
          <w:kern w:val="2"/>
          <w:sz w:val="21"/>
          <w:szCs w:val="21"/>
          <w:lang w:val="en-US" w:eastAsia="zh-CN" w:bidi="ar"/>
        </w:rPr>
      </w:pPr>
      <w:r>
        <w:rPr>
          <w:rFonts w:hint="eastAsia" w:ascii="黑体" w:hAnsi="Times New Roman" w:eastAsia="黑体" w:cs="Times New Roman"/>
          <w:color w:val="auto"/>
          <w:sz w:val="21"/>
          <w:szCs w:val="22"/>
          <w:highlight w:val="none"/>
          <w:lang w:val="en-US" w:eastAsia="zh-CN" w:bidi="ar-SA"/>
        </w:rPr>
        <w:t xml:space="preserve">8.4.4 </w:t>
      </w:r>
      <w:r>
        <w:rPr>
          <w:rFonts w:hint="eastAsia" w:ascii="Times New Roman" w:hAnsi="Times New Roman" w:cs="Times New Roman"/>
          <w:color w:val="auto"/>
          <w:kern w:val="2"/>
          <w:sz w:val="21"/>
          <w:szCs w:val="21"/>
          <w:lang w:val="en-US" w:eastAsia="zh-CN" w:bidi="ar"/>
        </w:rPr>
        <w:t>节能</w:t>
      </w:r>
      <w:r>
        <w:rPr>
          <w:rFonts w:hint="eastAsia" w:ascii="Times New Roman" w:hAnsi="Times New Roman" w:eastAsia="宋体" w:cs="Times New Roman"/>
          <w:color w:val="auto"/>
          <w:kern w:val="2"/>
          <w:sz w:val="21"/>
          <w:szCs w:val="21"/>
          <w:lang w:val="en-US" w:eastAsia="zh-CN" w:bidi="ar"/>
        </w:rPr>
        <w:t>评价结论为“不符合”</w:t>
      </w:r>
      <w:r>
        <w:rPr>
          <w:rFonts w:hint="eastAsia" w:ascii="Times New Roman" w:hAnsi="Times New Roman" w:cs="Times New Roman"/>
          <w:color w:val="auto"/>
          <w:kern w:val="2"/>
          <w:sz w:val="21"/>
          <w:szCs w:val="21"/>
          <w:lang w:val="en-US" w:eastAsia="zh-CN" w:bidi="ar"/>
        </w:rPr>
        <w:t>，</w:t>
      </w:r>
      <w:r>
        <w:rPr>
          <w:rFonts w:hint="eastAsia" w:ascii="Times New Roman" w:hAnsi="Times New Roman" w:cs="Times New Roman"/>
          <w:kern w:val="2"/>
          <w:sz w:val="21"/>
          <w:szCs w:val="21"/>
          <w:lang w:val="en-US" w:eastAsia="zh-CN" w:bidi="ar"/>
        </w:rPr>
        <w:t>且不能通过修理或改造</w:t>
      </w:r>
      <w:r>
        <w:rPr>
          <w:rFonts w:hint="eastAsia" w:ascii="Times New Roman" w:hAnsi="Times New Roman" w:eastAsia="宋体" w:cs="Times New Roman"/>
          <w:kern w:val="2"/>
          <w:sz w:val="21"/>
          <w:szCs w:val="21"/>
          <w:lang w:val="en-US" w:eastAsia="zh-CN" w:bidi="ar"/>
        </w:rPr>
        <w:t>达到现行法规及标准</w:t>
      </w:r>
      <w:r>
        <w:rPr>
          <w:rFonts w:hint="eastAsia" w:ascii="Times New Roman" w:hAnsi="Times New Roman" w:cs="Times New Roman"/>
          <w:kern w:val="2"/>
          <w:sz w:val="21"/>
          <w:szCs w:val="21"/>
          <w:lang w:val="en-US" w:eastAsia="zh-CN" w:bidi="ar"/>
        </w:rPr>
        <w:t>节能</w:t>
      </w:r>
      <w:r>
        <w:rPr>
          <w:rFonts w:hint="eastAsia" w:ascii="Times New Roman" w:hAnsi="Times New Roman" w:eastAsia="宋体" w:cs="Times New Roman"/>
          <w:kern w:val="2"/>
          <w:sz w:val="21"/>
          <w:szCs w:val="21"/>
          <w:lang w:val="en-US" w:eastAsia="zh-CN" w:bidi="ar"/>
        </w:rPr>
        <w:t>要求的</w:t>
      </w:r>
      <w:r>
        <w:rPr>
          <w:rFonts w:hint="eastAsia" w:ascii="Times New Roman" w:hAnsi="Times New Roman" w:cs="Times New Roman"/>
          <w:kern w:val="2"/>
          <w:sz w:val="21"/>
          <w:szCs w:val="21"/>
          <w:lang w:val="en-US" w:eastAsia="zh-CN" w:bidi="ar"/>
        </w:rPr>
        <w:t>。</w:t>
      </w:r>
    </w:p>
    <w:p>
      <w:pPr>
        <w:pStyle w:val="26"/>
        <w:keepNext w:val="0"/>
        <w:keepLines w:val="0"/>
        <w:pageBreakBefore w:val="0"/>
        <w:widowControl/>
        <w:numPr>
          <w:ilvl w:val="-1"/>
          <w:numId w:val="0"/>
        </w:numPr>
        <w:suppressLineNumbers w:val="0"/>
        <w:kinsoku/>
        <w:wordWrap/>
        <w:overflowPunct/>
        <w:topLinePunct w:val="0"/>
        <w:autoSpaceDE w:val="0"/>
        <w:autoSpaceDN w:val="0"/>
        <w:bidi w:val="0"/>
        <w:adjustRightInd/>
        <w:snapToGrid/>
        <w:spacing w:beforeAutospacing="0" w:afterAutospacing="0" w:line="288" w:lineRule="auto"/>
        <w:ind w:left="0" w:leftChars="0" w:right="0" w:rightChars="0" w:firstLine="0" w:firstLineChars="0"/>
        <w:jc w:val="both"/>
        <w:textAlignment w:val="auto"/>
        <w:outlineLvl w:val="9"/>
        <w:rPr>
          <w:rFonts w:hint="eastAsia" w:ascii="Times New Roman" w:cs="宋体"/>
          <w:color w:val="000000" w:themeColor="text1"/>
          <w:highlight w:val="none"/>
          <w:lang w:val="en-US" w:eastAsia="zh-CN"/>
          <w14:textFill>
            <w14:solidFill>
              <w14:schemeClr w14:val="tx1"/>
            </w14:solidFill>
          </w14:textFill>
        </w:rPr>
      </w:pPr>
      <w:r>
        <w:rPr>
          <w:rFonts w:hint="eastAsia" w:ascii="黑体" w:hAnsi="Times New Roman" w:eastAsia="黑体" w:cs="Times New Roman"/>
          <w:color w:val="auto"/>
          <w:sz w:val="21"/>
          <w:szCs w:val="22"/>
          <w:highlight w:val="none"/>
          <w:lang w:val="en-US" w:eastAsia="zh-CN" w:bidi="ar-SA"/>
        </w:rPr>
        <w:t xml:space="preserve">8.4.5 </w:t>
      </w:r>
      <w:r>
        <w:rPr>
          <w:rFonts w:hint="eastAsia" w:ascii="Times New Roman" w:hAnsi="Times New Roman" w:eastAsia="宋体" w:cs="Times New Roman"/>
          <w:color w:val="auto"/>
          <w:kern w:val="2"/>
          <w:sz w:val="21"/>
          <w:szCs w:val="21"/>
          <w:lang w:val="en-US" w:eastAsia="zh-CN" w:bidi="ar"/>
        </w:rPr>
        <w:t>环保评价结论为“不符合”</w:t>
      </w:r>
      <w:r>
        <w:rPr>
          <w:rFonts w:hint="eastAsia" w:ascii="Times New Roman" w:hAnsi="Times New Roman" w:cs="Times New Roman"/>
          <w:color w:val="auto"/>
          <w:kern w:val="2"/>
          <w:sz w:val="21"/>
          <w:szCs w:val="21"/>
          <w:lang w:val="en-US" w:eastAsia="zh-CN" w:bidi="ar"/>
        </w:rPr>
        <w:t>，</w:t>
      </w:r>
      <w:r>
        <w:rPr>
          <w:rFonts w:hint="eastAsia" w:ascii="Times New Roman" w:hAnsi="Times New Roman" w:cs="Times New Roman"/>
          <w:kern w:val="2"/>
          <w:sz w:val="21"/>
          <w:szCs w:val="21"/>
          <w:lang w:val="en-US" w:eastAsia="zh-CN" w:bidi="ar"/>
        </w:rPr>
        <w:t>且不能通过修理或改造</w:t>
      </w:r>
      <w:r>
        <w:rPr>
          <w:rFonts w:hint="eastAsia" w:ascii="Times New Roman" w:hAnsi="Times New Roman" w:eastAsia="宋体" w:cs="Times New Roman"/>
          <w:kern w:val="2"/>
          <w:sz w:val="21"/>
          <w:szCs w:val="21"/>
          <w:lang w:val="en-US" w:eastAsia="zh-CN" w:bidi="ar"/>
        </w:rPr>
        <w:t>达到现行法规及标准</w:t>
      </w:r>
      <w:r>
        <w:rPr>
          <w:rFonts w:hint="eastAsia" w:ascii="Times New Roman" w:hAnsi="Times New Roman" w:cs="Times New Roman"/>
          <w:kern w:val="2"/>
          <w:sz w:val="21"/>
          <w:szCs w:val="21"/>
          <w:lang w:val="en-US" w:eastAsia="zh-CN" w:bidi="ar"/>
        </w:rPr>
        <w:t>环保</w:t>
      </w:r>
      <w:r>
        <w:rPr>
          <w:rFonts w:hint="eastAsia" w:ascii="Times New Roman" w:hAnsi="Times New Roman" w:eastAsia="宋体" w:cs="Times New Roman"/>
          <w:kern w:val="2"/>
          <w:sz w:val="21"/>
          <w:szCs w:val="21"/>
          <w:lang w:val="en-US" w:eastAsia="zh-CN" w:bidi="ar"/>
        </w:rPr>
        <w:t>要求的</w:t>
      </w:r>
      <w:r>
        <w:rPr>
          <w:rFonts w:hint="eastAsia" w:ascii="Times New Roman" w:hAnsi="Times New Roman" w:cs="Times New Roman"/>
          <w:kern w:val="2"/>
          <w:sz w:val="21"/>
          <w:szCs w:val="21"/>
          <w:lang w:val="en-US" w:eastAsia="zh-CN" w:bidi="ar"/>
        </w:rPr>
        <w:t>。</w:t>
      </w:r>
    </w:p>
    <w:p>
      <w:pPr>
        <w:pStyle w:val="107"/>
        <w:spacing w:before="240" w:after="240"/>
        <w:rPr>
          <w:rFonts w:hint="eastAsia"/>
          <w:color w:val="000000" w:themeColor="text1"/>
          <w:szCs w:val="22"/>
          <w:highlight w:val="none"/>
          <w:lang w:val="en-US" w:eastAsia="zh-CN"/>
          <w14:textFill>
            <w14:solidFill>
              <w14:schemeClr w14:val="tx1"/>
            </w14:solidFill>
          </w14:textFill>
        </w:rPr>
      </w:pPr>
      <w:bookmarkStart w:id="52" w:name="_Toc25383"/>
      <w:r>
        <w:rPr>
          <w:rFonts w:hint="eastAsia"/>
          <w:color w:val="000000" w:themeColor="text1"/>
          <w:szCs w:val="22"/>
          <w:highlight w:val="none"/>
          <w:lang w:val="en-US" w:eastAsia="zh-CN"/>
          <w14:textFill>
            <w14:solidFill>
              <w14:schemeClr w14:val="tx1"/>
            </w14:solidFill>
          </w14:textFill>
        </w:rPr>
        <w:t>评估报告</w:t>
      </w:r>
      <w:bookmarkEnd w:id="52"/>
    </w:p>
    <w:p>
      <w:pPr>
        <w:pStyle w:val="59"/>
        <w:spacing w:line="288" w:lineRule="auto"/>
        <w:ind w:firstLine="0" w:firstLineChars="0"/>
        <w:rPr>
          <w:rFonts w:hint="eastAsia"/>
          <w:color w:val="000000" w:themeColor="text1"/>
          <w:szCs w:val="22"/>
          <w:highlight w:val="none"/>
          <w:lang w:val="en-US" w:eastAsia="zh-CN"/>
          <w14:textFill>
            <w14:solidFill>
              <w14:schemeClr w14:val="tx1"/>
            </w14:solidFill>
          </w14:textFill>
        </w:rPr>
      </w:pPr>
      <w:r>
        <w:rPr>
          <w:rFonts w:hint="eastAsia" w:ascii="黑体" w:eastAsia="黑体"/>
          <w:color w:val="000000" w:themeColor="text1"/>
          <w:szCs w:val="22"/>
          <w:highlight w:val="none"/>
          <w:lang w:val="en-US" w:eastAsia="zh-CN"/>
          <w14:textFill>
            <w14:solidFill>
              <w14:schemeClr w14:val="tx1"/>
            </w14:solidFill>
          </w14:textFill>
        </w:rPr>
        <w:t>9.1</w:t>
      </w:r>
      <w:r>
        <w:rPr>
          <w:rFonts w:hint="eastAsia" w:ascii="Times New Roman" w:cs="宋体"/>
          <w:color w:val="000000" w:themeColor="text1"/>
          <w:highlight w:val="none"/>
          <w:lang w:val="en-US" w:eastAsia="zh-CN"/>
          <w14:textFill>
            <w14:solidFill>
              <w14:schemeClr w14:val="tx1"/>
            </w14:solidFill>
          </w14:textFill>
        </w:rPr>
        <w:t xml:space="preserve"> </w:t>
      </w:r>
      <w:r>
        <w:rPr>
          <w:rFonts w:hint="eastAsia"/>
          <w:color w:val="000000" w:themeColor="text1"/>
          <w:szCs w:val="22"/>
          <w:highlight w:val="none"/>
          <w:lang w:val="en-US" w:eastAsia="zh-CN"/>
          <w14:textFill>
            <w14:solidFill>
              <w14:schemeClr w14:val="tx1"/>
            </w14:solidFill>
          </w14:textFill>
        </w:rPr>
        <w:t>评估报告应</w:t>
      </w:r>
      <w:bookmarkEnd w:id="16"/>
      <w:r>
        <w:rPr>
          <w:rFonts w:hint="eastAsia"/>
          <w:color w:val="000000" w:themeColor="text1"/>
          <w:szCs w:val="22"/>
          <w:highlight w:val="none"/>
          <w:lang w:val="en-US" w:eastAsia="zh-CN"/>
          <w14:textFill>
            <w14:solidFill>
              <w14:schemeClr w14:val="tx1"/>
            </w14:solidFill>
          </w14:textFill>
        </w:rPr>
        <w:t>符合DB 50/T 1699.1的要求。</w:t>
      </w:r>
    </w:p>
    <w:p>
      <w:pPr>
        <w:pStyle w:val="59"/>
        <w:spacing w:line="288" w:lineRule="auto"/>
        <w:ind w:firstLine="0" w:firstLineChars="0"/>
        <w:rPr>
          <w:rFonts w:hint="default" w:ascii="宋体" w:cs="Times New Roman"/>
          <w:lang w:val="en-US" w:eastAsia="zh-CN"/>
        </w:rPr>
      </w:pPr>
      <w:r>
        <w:rPr>
          <w:rFonts w:hint="eastAsia" w:ascii="黑体" w:eastAsia="黑体"/>
          <w:color w:val="000000" w:themeColor="text1"/>
          <w:szCs w:val="22"/>
          <w:highlight w:val="none"/>
          <w:lang w:val="en-US" w:eastAsia="zh-CN"/>
          <w14:textFill>
            <w14:solidFill>
              <w14:schemeClr w14:val="tx1"/>
            </w14:solidFill>
          </w14:textFill>
        </w:rPr>
        <w:t xml:space="preserve">9.2 </w:t>
      </w:r>
      <w:r>
        <w:rPr>
          <w:rFonts w:hint="eastAsia" w:ascii="黑体" w:cs="Times New Roman"/>
          <w:color w:val="000000" w:themeColor="text1"/>
          <w:szCs w:val="22"/>
          <w:highlight w:val="none"/>
          <w:lang w:val="en-US" w:eastAsia="zh-CN"/>
          <w14:textFill>
            <w14:solidFill>
              <w14:schemeClr w14:val="tx1"/>
            </w14:solidFill>
          </w14:textFill>
        </w:rPr>
        <w:t>评估报告应综合考虑分项评价的结论，根据分项的更新评级</w:t>
      </w:r>
      <w:r>
        <w:rPr>
          <w:rFonts w:hint="eastAsia"/>
          <w:color w:val="auto"/>
          <w:highlight w:val="none"/>
          <w:lang w:val="en-US" w:eastAsia="zh-CN"/>
        </w:rPr>
        <w:t>，并给出相应的评估建议。</w:t>
      </w:r>
    </w:p>
    <w:p>
      <w:pPr>
        <w:pStyle w:val="59"/>
        <w:spacing w:line="288" w:lineRule="auto"/>
        <w:ind w:firstLine="0" w:firstLineChars="0"/>
        <w:rPr>
          <w:rFonts w:hint="eastAsia"/>
          <w:color w:val="000000" w:themeColor="text1"/>
          <w:szCs w:val="22"/>
          <w:highlight w:val="none"/>
          <w:lang w:val="en-US" w:eastAsia="zh-CN"/>
          <w14:textFill>
            <w14:solidFill>
              <w14:schemeClr w14:val="tx1"/>
            </w14:solidFill>
          </w14:textFill>
        </w:rPr>
      </w:pPr>
      <w:r>
        <w:rPr>
          <w:rFonts w:hint="eastAsia" w:ascii="黑体" w:eastAsia="黑体"/>
          <w:color w:val="000000" w:themeColor="text1"/>
          <w:szCs w:val="22"/>
          <w:highlight w:val="none"/>
          <w:lang w:val="en-US" w:eastAsia="zh-CN"/>
          <w14:textFill>
            <w14:solidFill>
              <w14:schemeClr w14:val="tx1"/>
            </w14:solidFill>
          </w14:textFill>
        </w:rPr>
        <w:t xml:space="preserve">9.3 </w:t>
      </w:r>
      <w:r>
        <w:rPr>
          <w:rFonts w:hint="eastAsia"/>
          <w:color w:val="000000" w:themeColor="text1"/>
          <w:szCs w:val="22"/>
          <w:highlight w:val="none"/>
          <w:lang w:val="en-US" w:eastAsia="zh-CN"/>
          <w14:textFill>
            <w14:solidFill>
              <w14:schemeClr w14:val="tx1"/>
            </w14:solidFill>
          </w14:textFill>
        </w:rPr>
        <w:t>评估报告参考格式见附录A（资料性）。</w:t>
      </w:r>
    </w:p>
    <w:p>
      <w:pPr>
        <w:pStyle w:val="2"/>
        <w:jc w:val="both"/>
        <w:rPr>
          <w:rFonts w:hint="eastAsia"/>
          <w:sz w:val="24"/>
          <w:szCs w:val="24"/>
          <w:lang w:eastAsia="zh-CN"/>
        </w:rPr>
      </w:pPr>
      <w:r>
        <w:rPr>
          <w:rFonts w:hint="eastAsia"/>
          <w:sz w:val="24"/>
          <w:szCs w:val="24"/>
          <w:lang w:eastAsia="zh-CN"/>
        </w:rPr>
        <w:t>附录</w:t>
      </w:r>
      <w:r>
        <w:rPr>
          <w:rFonts w:hint="eastAsia"/>
          <w:sz w:val="24"/>
          <w:szCs w:val="24"/>
          <w:lang w:val="en-US" w:eastAsia="zh-CN"/>
        </w:rPr>
        <w:t>A（资料性）</w:t>
      </w:r>
    </w:p>
    <w:p>
      <w:pPr>
        <w:pStyle w:val="2"/>
        <w:spacing w:line="240" w:lineRule="auto"/>
        <w:jc w:val="center"/>
        <w:rPr>
          <w:rFonts w:hint="eastAsia"/>
          <w:lang w:eastAsia="zh-CN"/>
        </w:rPr>
      </w:pPr>
      <w:r>
        <w:rPr>
          <w:rFonts w:hint="eastAsia"/>
          <w:lang w:eastAsia="zh-CN"/>
        </w:rPr>
        <w:t>（参考格式）</w:t>
      </w:r>
    </w:p>
    <w:p>
      <w:pPr>
        <w:pStyle w:val="2"/>
        <w:jc w:val="center"/>
      </w:pPr>
      <w:r>
        <w:rPr>
          <w:rFonts w:hint="eastAsia"/>
          <w:lang w:eastAsia="zh-CN"/>
        </w:rPr>
        <w:t>锅炉更新评估报告</w:t>
      </w:r>
    </w:p>
    <w:p>
      <w:pPr>
        <w:widowControl/>
        <w:rPr>
          <w:rFonts w:ascii="宋体" w:hAnsi="宋体" w:cs="宋体"/>
          <w:b/>
          <w:bCs/>
          <w:sz w:val="28"/>
          <w:szCs w:val="28"/>
        </w:rPr>
      </w:pPr>
      <w:r>
        <w:rPr>
          <w:rFonts w:hint="eastAsia" w:ascii="宋体" w:hAnsi="宋体" w:cs="宋体"/>
          <w:b/>
          <w:bCs/>
          <w:sz w:val="28"/>
          <w:szCs w:val="28"/>
        </w:rPr>
        <w:t xml:space="preserve">  </w:t>
      </w:r>
      <w:r>
        <w:rPr>
          <w:rFonts w:hint="eastAsia" w:ascii="宋体" w:hAnsi="宋体" w:cs="宋体"/>
          <w:b/>
          <w:bCs/>
          <w:sz w:val="28"/>
          <w:szCs w:val="28"/>
          <w:lang w:val="en-US" w:eastAsia="zh-CN"/>
        </w:rPr>
        <w:t xml:space="preserve">                                      </w:t>
      </w:r>
      <w:r>
        <w:rPr>
          <w:rFonts w:hint="eastAsia" w:ascii="宋体" w:hAnsi="宋体" w:cs="宋体"/>
          <w:b w:val="0"/>
          <w:bCs w:val="0"/>
          <w:sz w:val="28"/>
          <w:szCs w:val="28"/>
          <w:lang w:val="en-US" w:eastAsia="zh-CN"/>
        </w:rPr>
        <w:t>报告</w:t>
      </w:r>
      <w:r>
        <w:rPr>
          <w:rFonts w:hint="eastAsia"/>
          <w:sz w:val="28"/>
          <w:szCs w:val="28"/>
        </w:rPr>
        <w:t>编号：</w:t>
      </w:r>
      <w:r>
        <w:rPr>
          <w:rFonts w:hint="eastAsia"/>
          <w:sz w:val="28"/>
          <w:szCs w:val="28"/>
          <w:lang w:val="en-US" w:eastAsia="zh-CN"/>
        </w:rPr>
        <w:t xml:space="preserve"> </w:t>
      </w:r>
    </w:p>
    <w:p>
      <w:pPr>
        <w:widowControl/>
        <w:rPr>
          <w:rFonts w:ascii="宋体" w:hAnsi="宋体" w:cs="宋体"/>
          <w:b/>
          <w:bCs/>
          <w:sz w:val="28"/>
          <w:szCs w:val="28"/>
        </w:rPr>
      </w:pPr>
    </w:p>
    <w:p>
      <w:pPr>
        <w:widowControl/>
        <w:rPr>
          <w:rFonts w:ascii="宋体" w:hAnsi="宋体" w:cs="宋体"/>
          <w:b/>
          <w:bCs/>
          <w:sz w:val="28"/>
          <w:szCs w:val="28"/>
        </w:rPr>
      </w:pPr>
    </w:p>
    <w:p>
      <w:pPr>
        <w:widowControl/>
        <w:rPr>
          <w:rFonts w:ascii="宋体" w:hAnsi="宋体" w:cs="宋体"/>
          <w:b/>
          <w:bCs/>
          <w:sz w:val="28"/>
          <w:szCs w:val="28"/>
        </w:rPr>
      </w:pPr>
    </w:p>
    <w:p>
      <w:pPr>
        <w:widowControl/>
        <w:rPr>
          <w:rFonts w:ascii="宋体" w:hAnsi="宋体" w:cs="宋体"/>
          <w:b/>
          <w:bCs/>
          <w:sz w:val="28"/>
          <w:szCs w:val="28"/>
        </w:rPr>
      </w:pPr>
    </w:p>
    <w:p>
      <w:pPr>
        <w:widowControl/>
        <w:ind w:firstLine="2811" w:firstLineChars="1000"/>
        <w:rPr>
          <w:rFonts w:ascii="宋体" w:hAnsi="宋体" w:cs="宋体"/>
          <w:b/>
          <w:bCs/>
          <w:sz w:val="28"/>
          <w:szCs w:val="28"/>
        </w:rPr>
      </w:pPr>
    </w:p>
    <w:p>
      <w:pPr>
        <w:widowControl/>
        <w:ind w:firstLine="1500" w:firstLineChars="500"/>
        <w:jc w:val="both"/>
        <w:rPr>
          <w:rFonts w:eastAsia="黑体"/>
          <w:sz w:val="30"/>
          <w:szCs w:val="30"/>
          <w:u w:val="single"/>
        </w:rPr>
      </w:pPr>
      <w:r>
        <w:rPr>
          <w:rFonts w:hint="eastAsia" w:eastAsia="黑体"/>
          <w:sz w:val="30"/>
          <w:szCs w:val="30"/>
        </w:rPr>
        <w:t>委托单位：</w:t>
      </w:r>
      <w:r>
        <w:rPr>
          <w:rFonts w:eastAsia="黑体"/>
          <w:sz w:val="30"/>
          <w:szCs w:val="30"/>
          <w:u w:val="single"/>
        </w:rPr>
        <w:t xml:space="preserve"> </w:t>
      </w:r>
      <w:r>
        <w:rPr>
          <w:rFonts w:hint="eastAsia" w:ascii="黑体" w:hAnsi="黑体" w:eastAsia="黑体" w:cs="黑体"/>
          <w:sz w:val="30"/>
          <w:szCs w:val="30"/>
          <w:u w:val="single"/>
          <w:lang w:val="en-US" w:eastAsia="zh-CN"/>
        </w:rPr>
        <w:t xml:space="preserve">                            </w:t>
      </w:r>
      <w:r>
        <w:rPr>
          <w:rFonts w:hint="eastAsia"/>
          <w:sz w:val="24"/>
          <w:u w:val="single"/>
          <w:lang w:val="en-US" w:eastAsia="zh-CN"/>
        </w:rPr>
        <w:t xml:space="preserve">  </w:t>
      </w:r>
    </w:p>
    <w:p>
      <w:pPr>
        <w:widowControl/>
        <w:ind w:firstLine="1500" w:firstLineChars="500"/>
        <w:rPr>
          <w:rFonts w:eastAsia="黑体"/>
          <w:sz w:val="30"/>
          <w:szCs w:val="30"/>
          <w:u w:val="single"/>
        </w:rPr>
      </w:pPr>
    </w:p>
    <w:p>
      <w:pPr>
        <w:widowControl/>
        <w:ind w:firstLine="1500" w:firstLineChars="500"/>
        <w:rPr>
          <w:rFonts w:eastAsia="黑体"/>
          <w:sz w:val="30"/>
          <w:szCs w:val="30"/>
          <w:u w:val="single"/>
        </w:rPr>
      </w:pPr>
      <w:r>
        <w:rPr>
          <w:rFonts w:hint="eastAsia" w:eastAsia="黑体"/>
          <w:sz w:val="30"/>
          <w:szCs w:val="30"/>
          <w:lang w:eastAsia="zh-CN"/>
        </w:rPr>
        <w:t>锅炉型号</w:t>
      </w:r>
      <w:r>
        <w:rPr>
          <w:rFonts w:hint="eastAsia" w:eastAsia="黑体"/>
          <w:sz w:val="30"/>
          <w:szCs w:val="30"/>
        </w:rPr>
        <w:t>：</w:t>
      </w:r>
      <w:r>
        <w:rPr>
          <w:rFonts w:eastAsia="黑体"/>
          <w:sz w:val="30"/>
          <w:szCs w:val="30"/>
          <w:u w:val="single"/>
        </w:rPr>
        <w:t xml:space="preserve"> </w:t>
      </w:r>
      <w:r>
        <w:rPr>
          <w:rFonts w:hint="eastAsia" w:eastAsia="黑体"/>
          <w:sz w:val="30"/>
          <w:szCs w:val="30"/>
          <w:u w:val="single"/>
          <w:lang w:val="en-US" w:eastAsia="zh-CN"/>
        </w:rPr>
        <w:t xml:space="preserve"> </w:t>
      </w:r>
      <w:r>
        <w:rPr>
          <w:rFonts w:hint="eastAsia"/>
          <w:sz w:val="30"/>
          <w:szCs w:val="30"/>
          <w:u w:val="single"/>
          <w:lang w:val="en-US" w:eastAsia="zh-CN"/>
        </w:rPr>
        <w:t xml:space="preserve">                          </w:t>
      </w:r>
      <w:r>
        <w:rPr>
          <w:rFonts w:hint="eastAsia" w:eastAsia="黑体"/>
          <w:sz w:val="30"/>
          <w:szCs w:val="30"/>
          <w:u w:val="single"/>
          <w:lang w:val="en-US" w:eastAsia="zh-CN"/>
        </w:rPr>
        <w:t xml:space="preserve">   </w:t>
      </w:r>
    </w:p>
    <w:p>
      <w:pPr>
        <w:widowControl/>
        <w:ind w:firstLine="1500" w:firstLineChars="500"/>
        <w:rPr>
          <w:rFonts w:eastAsia="黑体"/>
          <w:sz w:val="30"/>
          <w:szCs w:val="30"/>
          <w:u w:val="single"/>
        </w:rPr>
      </w:pPr>
    </w:p>
    <w:p>
      <w:pPr>
        <w:spacing w:line="600" w:lineRule="exact"/>
        <w:ind w:firstLine="1500" w:firstLineChars="500"/>
        <w:rPr>
          <w:rFonts w:eastAsia="黑体"/>
          <w:sz w:val="30"/>
          <w:szCs w:val="30"/>
          <w:u w:val="single"/>
        </w:rPr>
      </w:pPr>
      <w:r>
        <w:rPr>
          <w:rFonts w:hint="eastAsia" w:eastAsia="黑体"/>
          <w:sz w:val="30"/>
          <w:szCs w:val="30"/>
          <w:lang w:eastAsia="zh-CN"/>
        </w:rPr>
        <w:t>评估项目</w:t>
      </w:r>
      <w:r>
        <w:rPr>
          <w:rFonts w:hint="eastAsia" w:eastAsia="黑体"/>
          <w:sz w:val="30"/>
          <w:szCs w:val="30"/>
        </w:rPr>
        <w:t>：</w:t>
      </w:r>
      <w:r>
        <w:rPr>
          <w:rFonts w:eastAsia="黑体"/>
          <w:sz w:val="30"/>
          <w:szCs w:val="30"/>
          <w:u w:val="single"/>
        </w:rPr>
        <w:t xml:space="preserve"> </w:t>
      </w:r>
      <w:r>
        <w:rPr>
          <w:rFonts w:hint="eastAsia" w:eastAsia="黑体"/>
          <w:sz w:val="30"/>
          <w:szCs w:val="30"/>
          <w:u w:val="single"/>
          <w:lang w:val="en-US" w:eastAsia="zh-CN"/>
        </w:rPr>
        <w:t xml:space="preserve">                              </w:t>
      </w:r>
    </w:p>
    <w:p>
      <w:pPr>
        <w:spacing w:line="600" w:lineRule="exact"/>
        <w:ind w:firstLine="1500" w:firstLineChars="500"/>
        <w:rPr>
          <w:rFonts w:eastAsia="黑体"/>
          <w:sz w:val="30"/>
          <w:szCs w:val="30"/>
          <w:u w:val="single"/>
        </w:rPr>
      </w:pPr>
    </w:p>
    <w:p>
      <w:pPr>
        <w:spacing w:line="600" w:lineRule="exact"/>
        <w:ind w:firstLine="1500" w:firstLineChars="500"/>
        <w:rPr>
          <w:rFonts w:eastAsia="黑体"/>
          <w:sz w:val="30"/>
          <w:szCs w:val="30"/>
          <w:u w:val="single"/>
        </w:rPr>
      </w:pPr>
      <w:r>
        <w:rPr>
          <w:rFonts w:hint="eastAsia" w:eastAsia="黑体"/>
          <w:sz w:val="30"/>
          <w:szCs w:val="30"/>
          <w:lang w:eastAsia="zh-CN"/>
        </w:rPr>
        <w:t>评估</w:t>
      </w:r>
      <w:r>
        <w:rPr>
          <w:rFonts w:hint="eastAsia" w:eastAsia="黑体"/>
          <w:sz w:val="30"/>
          <w:szCs w:val="30"/>
        </w:rPr>
        <w:t>日期：</w:t>
      </w:r>
      <w:r>
        <w:rPr>
          <w:rFonts w:eastAsia="黑体"/>
          <w:sz w:val="30"/>
          <w:szCs w:val="30"/>
          <w:u w:val="single"/>
        </w:rPr>
        <w:t xml:space="preserve"> </w:t>
      </w:r>
      <w:r>
        <w:rPr>
          <w:rFonts w:hint="eastAsia" w:eastAsia="黑体"/>
          <w:sz w:val="30"/>
          <w:szCs w:val="30"/>
          <w:u w:val="single"/>
          <w:lang w:val="en-US" w:eastAsia="zh-CN"/>
        </w:rPr>
        <w:t xml:space="preserve">                 </w:t>
      </w:r>
      <w:r>
        <w:rPr>
          <w:rFonts w:eastAsia="黑体"/>
          <w:sz w:val="30"/>
          <w:szCs w:val="30"/>
          <w:u w:val="single"/>
        </w:rPr>
        <w:t xml:space="preserve">      </w:t>
      </w:r>
      <w:r>
        <w:rPr>
          <w:rFonts w:hint="eastAsia" w:eastAsia="黑体"/>
          <w:sz w:val="30"/>
          <w:szCs w:val="30"/>
          <w:u w:val="single"/>
          <w:lang w:val="en-US" w:eastAsia="zh-CN"/>
        </w:rPr>
        <w:t xml:space="preserve">  </w:t>
      </w:r>
      <w:r>
        <w:rPr>
          <w:rFonts w:hint="eastAsia" w:eastAsia="黑体"/>
          <w:sz w:val="30"/>
          <w:szCs w:val="30"/>
          <w:u w:val="single"/>
        </w:rPr>
        <w:t xml:space="preserve"> </w:t>
      </w:r>
      <w:r>
        <w:rPr>
          <w:rFonts w:eastAsia="黑体"/>
          <w:sz w:val="30"/>
          <w:szCs w:val="30"/>
          <w:u w:val="single"/>
        </w:rPr>
        <w:t xml:space="preserve"> </w:t>
      </w:r>
      <w:r>
        <w:rPr>
          <w:rFonts w:hint="eastAsia" w:eastAsia="黑体"/>
          <w:sz w:val="30"/>
          <w:szCs w:val="30"/>
          <w:u w:val="single"/>
          <w:lang w:val="en-US" w:eastAsia="zh-CN"/>
        </w:rPr>
        <w:t xml:space="preserve"> </w:t>
      </w:r>
      <w:r>
        <w:rPr>
          <w:rFonts w:eastAsia="黑体"/>
          <w:sz w:val="30"/>
          <w:szCs w:val="30"/>
          <w:u w:val="single"/>
        </w:rPr>
        <w:t xml:space="preserve">  </w:t>
      </w:r>
    </w:p>
    <w:p>
      <w:pPr>
        <w:jc w:val="center"/>
      </w:pPr>
    </w:p>
    <w:p>
      <w:pPr>
        <w:jc w:val="center"/>
      </w:pPr>
    </w:p>
    <w:p>
      <w:pPr>
        <w:jc w:val="center"/>
      </w:pPr>
    </w:p>
    <w:p/>
    <w:p/>
    <w:p/>
    <w:p>
      <w:pPr>
        <w:jc w:val="both"/>
      </w:pPr>
    </w:p>
    <w:p>
      <w:pPr>
        <w:jc w:val="center"/>
        <w:rPr>
          <w:rFonts w:hint="eastAsia" w:eastAsia="黑体"/>
          <w:sz w:val="32"/>
          <w:szCs w:val="32"/>
          <w:lang w:eastAsia="zh-CN"/>
        </w:rPr>
      </w:pPr>
      <w:r>
        <w:rPr>
          <w:rFonts w:hint="eastAsia" w:eastAsia="黑体"/>
          <w:sz w:val="32"/>
          <w:szCs w:val="32"/>
          <w:lang w:eastAsia="zh-CN"/>
        </w:rPr>
        <w:t>评估机构名称</w:t>
      </w:r>
    </w:p>
    <w:p>
      <w:pPr>
        <w:rPr>
          <w:rFonts w:hint="eastAsia"/>
          <w:lang w:val="en-US" w:eastAsia="zh-CN"/>
        </w:rPr>
      </w:pPr>
    </w:p>
    <w:p>
      <w:pPr>
        <w:adjustRightInd w:val="0"/>
        <w:snapToGrid w:val="0"/>
        <w:jc w:val="both"/>
        <w:rPr>
          <w:rFonts w:hint="eastAsia" w:cs="宋体"/>
          <w:b/>
          <w:bCs/>
          <w:sz w:val="32"/>
          <w:szCs w:val="32"/>
          <w:lang w:eastAsia="zh-CN"/>
        </w:rPr>
      </w:pPr>
    </w:p>
    <w:p>
      <w:pPr>
        <w:adjustRightInd w:val="0"/>
        <w:snapToGrid w:val="0"/>
        <w:jc w:val="center"/>
        <w:rPr>
          <w:b/>
          <w:bCs/>
          <w:sz w:val="32"/>
          <w:szCs w:val="32"/>
        </w:rPr>
      </w:pPr>
      <w:r>
        <w:rPr>
          <w:rFonts w:hint="eastAsia" w:cs="宋体"/>
          <w:b/>
          <w:bCs/>
          <w:sz w:val="32"/>
          <w:szCs w:val="32"/>
          <w:lang w:eastAsia="zh-CN"/>
        </w:rPr>
        <w:t>锅炉更新评估报告</w:t>
      </w:r>
    </w:p>
    <w:p>
      <w:pPr>
        <w:adjustRightInd w:val="0"/>
        <w:snapToGrid w:val="0"/>
        <w:rPr>
          <w:b/>
          <w:bCs/>
          <w:sz w:val="24"/>
          <w:szCs w:val="24"/>
        </w:rPr>
      </w:pPr>
    </w:p>
    <w:p>
      <w:pPr>
        <w:adjustRightInd w:val="0"/>
        <w:snapToGrid w:val="0"/>
        <w:ind w:firstLine="1440" w:firstLineChars="600"/>
        <w:rPr>
          <w:rFonts w:hint="eastAsia"/>
          <w:lang w:val="en-US" w:eastAsia="zh-CN"/>
        </w:rPr>
      </w:pPr>
      <w:r>
        <w:rPr>
          <w:rFonts w:hint="eastAsia" w:cs="宋体"/>
          <w:sz w:val="24"/>
          <w:szCs w:val="24"/>
          <w:lang w:val="en-US" w:eastAsia="zh-CN"/>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lang w:eastAsia="zh-CN"/>
        </w:rPr>
        <w:t>报告编号：</w:t>
      </w:r>
    </w:p>
    <w:tbl>
      <w:tblPr>
        <w:tblStyle w:val="35"/>
        <w:tblW w:w="9136"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231"/>
        <w:gridCol w:w="848"/>
        <w:gridCol w:w="654"/>
        <w:gridCol w:w="893"/>
        <w:gridCol w:w="306"/>
        <w:gridCol w:w="1161"/>
        <w:gridCol w:w="2208"/>
        <w:tblGridChange w:id="0">
          <w:tblGrid>
            <w:gridCol w:w="1185"/>
            <w:gridCol w:w="650"/>
            <w:gridCol w:w="1231"/>
            <w:gridCol w:w="848"/>
            <w:gridCol w:w="654"/>
            <w:gridCol w:w="893"/>
            <w:gridCol w:w="306"/>
            <w:gridCol w:w="1161"/>
            <w:gridCol w:w="433"/>
            <w:gridCol w:w="177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1" w:hRule="atLeast"/>
          <w:jc w:val="center"/>
        </w:trPr>
        <w:tc>
          <w:tcPr>
            <w:tcW w:w="1835" w:type="dxa"/>
            <w:vAlign w:val="top"/>
          </w:tcPr>
          <w:p>
            <w:pPr>
              <w:keepNext w:val="0"/>
              <w:keepLines w:val="0"/>
              <w:suppressLineNumbers w:val="0"/>
              <w:adjustRightInd w:val="0"/>
              <w:snapToGrid w:val="0"/>
              <w:spacing w:before="0" w:beforeAutospacing="0" w:after="0" w:afterAutospacing="0"/>
              <w:ind w:left="0" w:right="0"/>
              <w:rPr>
                <w:rFonts w:hint="default"/>
                <w:sz w:val="24"/>
                <w:szCs w:val="24"/>
              </w:rPr>
            </w:pPr>
            <w:r>
              <w:rPr>
                <w:rFonts w:hint="eastAsia" w:cs="宋体"/>
                <w:sz w:val="24"/>
                <w:szCs w:val="24"/>
              </w:rPr>
              <w:t>委托单位</w:t>
            </w:r>
          </w:p>
        </w:tc>
        <w:tc>
          <w:tcPr>
            <w:tcW w:w="2733" w:type="dxa"/>
            <w:gridSpan w:val="3"/>
            <w:vAlign w:val="top"/>
          </w:tcPr>
          <w:p>
            <w:pPr>
              <w:keepNext w:val="0"/>
              <w:keepLines w:val="0"/>
              <w:suppressLineNumbers w:val="0"/>
              <w:adjustRightInd w:val="0"/>
              <w:snapToGrid w:val="0"/>
              <w:spacing w:before="0" w:beforeAutospacing="0" w:after="0" w:afterAutospacing="0"/>
              <w:ind w:left="0" w:right="0"/>
              <w:rPr>
                <w:rFonts w:hint="eastAsia" w:eastAsia="宋体"/>
                <w:sz w:val="24"/>
                <w:szCs w:val="24"/>
                <w:lang w:eastAsia="zh-CN"/>
              </w:rPr>
            </w:pPr>
          </w:p>
        </w:tc>
        <w:tc>
          <w:tcPr>
            <w:tcW w:w="1199" w:type="dxa"/>
            <w:gridSpan w:val="2"/>
            <w:vAlign w:val="top"/>
          </w:tcPr>
          <w:p>
            <w:pPr>
              <w:keepNext w:val="0"/>
              <w:keepLines w:val="0"/>
              <w:suppressLineNumbers w:val="0"/>
              <w:adjustRightInd w:val="0"/>
              <w:snapToGrid w:val="0"/>
              <w:spacing w:before="0" w:beforeAutospacing="0" w:after="0" w:afterAutospacing="0"/>
              <w:ind w:left="0" w:right="0"/>
              <w:rPr>
                <w:rFonts w:hint="default"/>
                <w:sz w:val="24"/>
                <w:szCs w:val="24"/>
              </w:rPr>
            </w:pPr>
            <w:r>
              <w:rPr>
                <w:rFonts w:hint="eastAsia" w:cs="宋体"/>
                <w:sz w:val="24"/>
                <w:szCs w:val="24"/>
              </w:rPr>
              <w:t>单位地址</w:t>
            </w:r>
          </w:p>
        </w:tc>
        <w:tc>
          <w:tcPr>
            <w:tcW w:w="3369" w:type="dxa"/>
            <w:gridSpan w:val="2"/>
            <w:vAlign w:val="top"/>
          </w:tcPr>
          <w:p>
            <w:pPr>
              <w:keepNext w:val="0"/>
              <w:keepLines w:val="0"/>
              <w:suppressLineNumbers w:val="0"/>
              <w:adjustRightInd w:val="0"/>
              <w:snapToGrid w:val="0"/>
              <w:spacing w:before="0" w:beforeAutospacing="0" w:after="0" w:afterAutospacing="0"/>
              <w:ind w:left="0" w:right="0"/>
              <w:rPr>
                <w:rFonts w:hint="eastAsia" w:eastAsia="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1835" w:type="dxa"/>
            <w:vAlign w:val="top"/>
          </w:tcPr>
          <w:p>
            <w:pPr>
              <w:keepNext w:val="0"/>
              <w:keepLines w:val="0"/>
              <w:suppressLineNumbers w:val="0"/>
              <w:adjustRightInd w:val="0"/>
              <w:snapToGrid w:val="0"/>
              <w:spacing w:before="0" w:beforeAutospacing="0" w:after="0" w:afterAutospacing="0"/>
              <w:ind w:left="0" w:leftChars="0" w:right="0" w:rightChars="0"/>
              <w:rPr>
                <w:rFonts w:hint="default"/>
                <w:sz w:val="24"/>
                <w:szCs w:val="24"/>
              </w:rPr>
            </w:pPr>
            <w:r>
              <w:rPr>
                <w:rFonts w:hint="eastAsia" w:cs="宋体"/>
                <w:sz w:val="24"/>
                <w:szCs w:val="24"/>
                <w:lang w:eastAsia="zh-CN"/>
              </w:rPr>
              <w:t>锅炉型号</w:t>
            </w:r>
          </w:p>
        </w:tc>
        <w:tc>
          <w:tcPr>
            <w:tcW w:w="2733" w:type="dxa"/>
            <w:gridSpan w:val="3"/>
            <w:vAlign w:val="top"/>
          </w:tcPr>
          <w:p>
            <w:pPr>
              <w:keepNext w:val="0"/>
              <w:keepLines w:val="0"/>
              <w:suppressLineNumbers w:val="0"/>
              <w:adjustRightInd w:val="0"/>
              <w:snapToGrid w:val="0"/>
              <w:spacing w:before="0" w:beforeAutospacing="0" w:after="0" w:afterAutospacing="0"/>
              <w:ind w:left="0" w:leftChars="0" w:right="0" w:rightChars="0"/>
              <w:rPr>
                <w:rFonts w:hint="eastAsia" w:eastAsia="宋体"/>
                <w:sz w:val="24"/>
                <w:szCs w:val="24"/>
                <w:lang w:val="en-US" w:eastAsia="zh-CN"/>
              </w:rPr>
            </w:pPr>
          </w:p>
        </w:tc>
        <w:tc>
          <w:tcPr>
            <w:tcW w:w="1199" w:type="dxa"/>
            <w:gridSpan w:val="2"/>
            <w:vAlign w:val="top"/>
          </w:tcPr>
          <w:p>
            <w:pPr>
              <w:keepNext w:val="0"/>
              <w:keepLines w:val="0"/>
              <w:suppressLineNumbers w:val="0"/>
              <w:adjustRightInd w:val="0"/>
              <w:snapToGrid w:val="0"/>
              <w:spacing w:before="0" w:beforeAutospacing="0" w:after="0" w:afterAutospacing="0"/>
              <w:ind w:left="0" w:leftChars="0" w:right="0" w:rightChars="0"/>
              <w:rPr>
                <w:rFonts w:hint="default"/>
                <w:sz w:val="24"/>
                <w:szCs w:val="24"/>
              </w:rPr>
            </w:pPr>
            <w:r>
              <w:rPr>
                <w:rFonts w:hint="eastAsia" w:cs="宋体"/>
                <w:sz w:val="24"/>
                <w:szCs w:val="24"/>
                <w:lang w:eastAsia="zh-CN"/>
              </w:rPr>
              <w:t>出厂编号</w:t>
            </w:r>
          </w:p>
        </w:tc>
        <w:tc>
          <w:tcPr>
            <w:tcW w:w="3369" w:type="dxa"/>
            <w:gridSpan w:val="2"/>
            <w:vAlign w:val="top"/>
          </w:tcPr>
          <w:p>
            <w:pPr>
              <w:keepNext w:val="0"/>
              <w:keepLines w:val="0"/>
              <w:suppressLineNumbers w:val="0"/>
              <w:adjustRightInd w:val="0"/>
              <w:snapToGrid w:val="0"/>
              <w:spacing w:before="0" w:beforeAutospacing="0" w:after="0" w:afterAutospacing="0"/>
              <w:ind w:left="0" w:right="0"/>
              <w:rPr>
                <w:rFonts w:hint="default"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835" w:type="dxa"/>
            <w:vAlign w:val="top"/>
          </w:tcPr>
          <w:p>
            <w:pPr>
              <w:keepNext w:val="0"/>
              <w:keepLines w:val="0"/>
              <w:suppressLineNumbers w:val="0"/>
              <w:adjustRightInd w:val="0"/>
              <w:snapToGrid w:val="0"/>
              <w:spacing w:before="0" w:beforeAutospacing="0" w:after="0" w:afterAutospacing="0"/>
              <w:ind w:left="0" w:leftChars="0" w:right="0" w:rightChars="0"/>
              <w:rPr>
                <w:rFonts w:hint="eastAsia" w:cs="宋体" w:eastAsiaTheme="minorEastAsia"/>
                <w:sz w:val="24"/>
                <w:szCs w:val="24"/>
                <w:lang w:eastAsia="zh-CN"/>
              </w:rPr>
            </w:pPr>
            <w:r>
              <w:rPr>
                <w:rFonts w:hint="eastAsia" w:cs="宋体"/>
                <w:sz w:val="24"/>
                <w:szCs w:val="24"/>
              </w:rPr>
              <w:t>联系人</w:t>
            </w:r>
            <w:r>
              <w:rPr>
                <w:rFonts w:hint="eastAsia" w:cs="宋体"/>
                <w:sz w:val="24"/>
                <w:szCs w:val="24"/>
                <w:lang w:eastAsia="zh-CN"/>
              </w:rPr>
              <w:t>员</w:t>
            </w:r>
          </w:p>
        </w:tc>
        <w:tc>
          <w:tcPr>
            <w:tcW w:w="2733" w:type="dxa"/>
            <w:gridSpan w:val="3"/>
            <w:vAlign w:val="top"/>
          </w:tcPr>
          <w:p>
            <w:pPr>
              <w:keepNext w:val="0"/>
              <w:keepLines w:val="0"/>
              <w:suppressLineNumbers w:val="0"/>
              <w:adjustRightInd w:val="0"/>
              <w:snapToGrid w:val="0"/>
              <w:spacing w:before="0" w:beforeAutospacing="0" w:after="0" w:afterAutospacing="0"/>
              <w:ind w:left="0" w:leftChars="0" w:right="0" w:rightChars="0"/>
              <w:rPr>
                <w:rFonts w:hint="eastAsia" w:eastAsia="宋体"/>
                <w:sz w:val="24"/>
                <w:szCs w:val="24"/>
                <w:lang w:val="en-US" w:eastAsia="zh-CN"/>
              </w:rPr>
            </w:pPr>
          </w:p>
        </w:tc>
        <w:tc>
          <w:tcPr>
            <w:tcW w:w="1199" w:type="dxa"/>
            <w:gridSpan w:val="2"/>
            <w:vAlign w:val="top"/>
          </w:tcPr>
          <w:p>
            <w:pPr>
              <w:keepNext w:val="0"/>
              <w:keepLines w:val="0"/>
              <w:suppressLineNumbers w:val="0"/>
              <w:adjustRightInd w:val="0"/>
              <w:snapToGrid w:val="0"/>
              <w:spacing w:before="0" w:beforeAutospacing="0" w:after="0" w:afterAutospacing="0"/>
              <w:ind w:left="0" w:leftChars="0" w:right="0" w:rightChars="0"/>
              <w:rPr>
                <w:rFonts w:hint="eastAsia" w:cs="宋体" w:eastAsiaTheme="minorEastAsia"/>
                <w:sz w:val="24"/>
                <w:szCs w:val="24"/>
                <w:lang w:eastAsia="zh-CN"/>
              </w:rPr>
            </w:pPr>
            <w:r>
              <w:rPr>
                <w:rFonts w:hint="eastAsia" w:cs="宋体"/>
                <w:sz w:val="24"/>
                <w:szCs w:val="24"/>
              </w:rPr>
              <w:t>联系电话</w:t>
            </w:r>
          </w:p>
        </w:tc>
        <w:tc>
          <w:tcPr>
            <w:tcW w:w="3369" w:type="dxa"/>
            <w:gridSpan w:val="2"/>
            <w:vAlign w:val="top"/>
          </w:tcPr>
          <w:p>
            <w:pPr>
              <w:keepNext w:val="0"/>
              <w:keepLines w:val="0"/>
              <w:suppressLineNumbers w:val="0"/>
              <w:adjustRightInd w:val="0"/>
              <w:snapToGrid w:val="0"/>
              <w:spacing w:before="0" w:beforeAutospacing="0" w:after="0" w:afterAutospacing="0"/>
              <w:ind w:left="0" w:right="0"/>
              <w:rPr>
                <w:rFonts w:hint="default"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835" w:type="dxa"/>
            <w:vAlign w:val="top"/>
          </w:tcPr>
          <w:p>
            <w:pPr>
              <w:keepNext w:val="0"/>
              <w:keepLines w:val="0"/>
              <w:suppressLineNumbers w:val="0"/>
              <w:adjustRightInd w:val="0"/>
              <w:snapToGrid w:val="0"/>
              <w:spacing w:before="0" w:beforeAutospacing="0" w:after="0" w:afterAutospacing="0"/>
              <w:ind w:left="0" w:right="0"/>
              <w:rPr>
                <w:rFonts w:hint="eastAsia" w:cs="宋体"/>
                <w:sz w:val="24"/>
                <w:szCs w:val="24"/>
                <w:lang w:eastAsia="zh-CN"/>
              </w:rPr>
            </w:pPr>
            <w:r>
              <w:rPr>
                <w:rFonts w:hint="eastAsia" w:cs="宋体"/>
                <w:sz w:val="24"/>
                <w:szCs w:val="24"/>
                <w:lang w:eastAsia="zh-CN"/>
              </w:rPr>
              <w:t>更新评估依据</w:t>
            </w:r>
          </w:p>
        </w:tc>
        <w:tc>
          <w:tcPr>
            <w:tcW w:w="7301" w:type="dxa"/>
            <w:gridSpan w:val="7"/>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9136" w:type="dxa"/>
            <w:gridSpan w:val="8"/>
            <w:vAlign w:val="top"/>
          </w:tcPr>
          <w:p>
            <w:pPr>
              <w:keepNext w:val="0"/>
              <w:keepLines w:val="0"/>
              <w:suppressLineNumbers w:val="0"/>
              <w:adjustRightInd w:val="0"/>
              <w:snapToGrid w:val="0"/>
              <w:spacing w:before="0" w:beforeAutospacing="0" w:after="0" w:afterAutospacing="0"/>
              <w:ind w:left="0" w:right="0"/>
              <w:jc w:val="center"/>
              <w:rPr>
                <w:rFonts w:hint="default"/>
                <w:sz w:val="24"/>
                <w:szCs w:val="24"/>
              </w:rPr>
            </w:pPr>
            <w:r>
              <w:rPr>
                <w:rFonts w:hint="eastAsia" w:cs="宋体"/>
                <w:sz w:val="24"/>
                <w:szCs w:val="24"/>
                <w:lang w:eastAsia="zh-CN"/>
              </w:rPr>
              <w:t>评估</w:t>
            </w:r>
            <w:r>
              <w:rPr>
                <w:rFonts w:hint="eastAsia" w:cs="宋体"/>
                <w:sz w:val="24"/>
                <w:szCs w:val="24"/>
              </w:rPr>
              <w:t>情况</w:t>
            </w:r>
            <w:r>
              <w:rPr>
                <w:rFonts w:hint="eastAsia" w:cs="宋体"/>
                <w:sz w:val="24"/>
                <w:szCs w:val="24"/>
                <w:lang w:eastAsia="zh-CN"/>
              </w:rPr>
              <w:t>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jc w:val="center"/>
        </w:trPr>
        <w:tc>
          <w:tcPr>
            <w:tcW w:w="1835" w:type="dxa"/>
            <w:vAlign w:val="top"/>
          </w:tcPr>
          <w:p>
            <w:pPr>
              <w:keepNext w:val="0"/>
              <w:keepLines w:val="0"/>
              <w:suppressLineNumbers w:val="0"/>
              <w:adjustRightInd w:val="0"/>
              <w:snapToGrid w:val="0"/>
              <w:spacing w:before="0" w:beforeAutospacing="0" w:after="0" w:afterAutospacing="0"/>
              <w:ind w:left="0" w:right="0"/>
              <w:jc w:val="center"/>
              <w:rPr>
                <w:rFonts w:hint="eastAsia" w:cs="宋体" w:eastAsiaTheme="minorEastAsia"/>
                <w:sz w:val="24"/>
                <w:szCs w:val="24"/>
                <w:lang w:eastAsia="zh-CN"/>
              </w:rPr>
            </w:pPr>
            <w:r>
              <w:rPr>
                <w:rFonts w:hint="eastAsia" w:cs="宋体"/>
                <w:sz w:val="24"/>
                <w:szCs w:val="24"/>
                <w:lang w:eastAsia="zh-CN"/>
              </w:rPr>
              <w:t>评估项目</w:t>
            </w:r>
          </w:p>
        </w:tc>
        <w:tc>
          <w:tcPr>
            <w:tcW w:w="5093" w:type="dxa"/>
            <w:gridSpan w:val="6"/>
            <w:vAlign w:val="top"/>
          </w:tcPr>
          <w:p>
            <w:pPr>
              <w:keepNext w:val="0"/>
              <w:keepLines w:val="0"/>
              <w:suppressLineNumbers w:val="0"/>
              <w:adjustRightInd w:val="0"/>
              <w:snapToGrid w:val="0"/>
              <w:spacing w:before="0" w:beforeAutospacing="0" w:after="0" w:afterAutospacing="0"/>
              <w:ind w:left="0" w:right="0"/>
              <w:jc w:val="center"/>
              <w:rPr>
                <w:rFonts w:hint="eastAsia" w:cs="宋体" w:eastAsiaTheme="minorEastAsia"/>
                <w:sz w:val="24"/>
                <w:szCs w:val="24"/>
                <w:lang w:eastAsia="zh-CN"/>
              </w:rPr>
            </w:pPr>
            <w:r>
              <w:rPr>
                <w:rFonts w:hint="eastAsia" w:cs="宋体"/>
                <w:sz w:val="24"/>
                <w:szCs w:val="24"/>
                <w:lang w:eastAsia="zh-CN"/>
              </w:rPr>
              <w:t>评价结论</w:t>
            </w:r>
          </w:p>
        </w:tc>
        <w:tc>
          <w:tcPr>
            <w:tcW w:w="2208" w:type="dxa"/>
            <w:vAlign w:val="top"/>
          </w:tcPr>
          <w:p>
            <w:pPr>
              <w:keepNext w:val="0"/>
              <w:keepLines w:val="0"/>
              <w:suppressLineNumbers w:val="0"/>
              <w:adjustRightInd w:val="0"/>
              <w:snapToGrid w:val="0"/>
              <w:spacing w:before="0" w:beforeAutospacing="0" w:after="0" w:afterAutospacing="0"/>
              <w:ind w:left="0" w:right="0"/>
              <w:jc w:val="center"/>
              <w:rPr>
                <w:rFonts w:hint="eastAsia" w:cs="宋体"/>
                <w:sz w:val="24"/>
                <w:szCs w:val="24"/>
                <w:lang w:eastAsia="zh-CN"/>
              </w:rPr>
            </w:pPr>
            <w:r>
              <w:rPr>
                <w:rFonts w:hint="eastAsia" w:cs="宋体"/>
                <w:sz w:val="24"/>
                <w:szCs w:val="24"/>
                <w:lang w:eastAsia="zh-CN"/>
              </w:rPr>
              <w:t>更新评级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jc w:val="center"/>
        </w:trPr>
        <w:tc>
          <w:tcPr>
            <w:tcW w:w="1835"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cs="宋体"/>
                <w:color w:val="auto"/>
                <w:sz w:val="24"/>
                <w:szCs w:val="24"/>
                <w:lang w:eastAsia="zh-CN"/>
              </w:rPr>
            </w:pPr>
            <w:r>
              <w:rPr>
                <w:rFonts w:hint="eastAsia" w:cs="宋体"/>
                <w:color w:val="auto"/>
                <w:sz w:val="24"/>
                <w:szCs w:val="24"/>
                <w:lang w:eastAsia="zh-CN"/>
              </w:rPr>
              <w:t>资料评价</w:t>
            </w:r>
          </w:p>
        </w:tc>
        <w:tc>
          <w:tcPr>
            <w:tcW w:w="5093" w:type="dxa"/>
            <w:gridSpan w:val="6"/>
            <w:vAlign w:val="top"/>
          </w:tcPr>
          <w:p>
            <w:pPr>
              <w:keepNext w:val="0"/>
              <w:keepLines w:val="0"/>
              <w:suppressLineNumbers w:val="0"/>
              <w:adjustRightInd w:val="0"/>
              <w:snapToGrid w:val="0"/>
              <w:spacing w:before="0" w:beforeAutospacing="0" w:after="0" w:afterAutospacing="0"/>
              <w:ind w:left="0" w:right="0"/>
              <w:jc w:val="left"/>
              <w:rPr>
                <w:rFonts w:hint="eastAsia" w:cs="宋体"/>
                <w:sz w:val="24"/>
                <w:szCs w:val="24"/>
                <w:lang w:eastAsia="zh-CN"/>
              </w:rPr>
            </w:pPr>
            <w:r>
              <w:rPr>
                <w:rFonts w:hint="eastAsia" w:cs="宋体"/>
                <w:sz w:val="24"/>
                <w:szCs w:val="24"/>
                <w:lang w:eastAsia="zh-CN"/>
              </w:rPr>
              <w:t>问题描述：</w:t>
            </w:r>
          </w:p>
          <w:p>
            <w:pPr>
              <w:keepNext w:val="0"/>
              <w:keepLines w:val="0"/>
              <w:suppressLineNumbers w:val="0"/>
              <w:adjustRightInd w:val="0"/>
              <w:snapToGrid w:val="0"/>
              <w:spacing w:before="0" w:beforeAutospacing="0" w:after="0" w:afterAutospacing="0"/>
              <w:ind w:left="0" w:right="0"/>
              <w:jc w:val="left"/>
              <w:rPr>
                <w:rFonts w:hint="eastAsia" w:cs="宋体"/>
                <w:sz w:val="24"/>
                <w:szCs w:val="24"/>
                <w:lang w:eastAsia="zh-CN"/>
              </w:rPr>
            </w:pPr>
          </w:p>
        </w:tc>
        <w:tc>
          <w:tcPr>
            <w:tcW w:w="2208" w:type="dxa"/>
            <w:vMerge w:val="restart"/>
            <w:vAlign w:val="top"/>
          </w:tcPr>
          <w:p>
            <w:pPr>
              <w:keepNext w:val="0"/>
              <w:keepLines w:val="0"/>
              <w:suppressLineNumbers w:val="0"/>
              <w:adjustRightInd w:val="0"/>
              <w:snapToGrid w:val="0"/>
              <w:spacing w:before="0" w:beforeAutospacing="0" w:after="0" w:afterAutospacing="0"/>
              <w:ind w:left="0" w:right="0"/>
              <w:jc w:val="left"/>
              <w:rPr>
                <w:rFonts w:hint="eastAsia" w:cs="宋体"/>
                <w:color w:val="auto"/>
                <w:sz w:val="24"/>
                <w:szCs w:val="24"/>
                <w:lang w:val="en-US" w:eastAsia="zh-CN"/>
              </w:rPr>
            </w:pPr>
            <w:r>
              <w:rPr>
                <w:rFonts w:hint="eastAsia" w:cs="宋体"/>
                <w:color w:val="auto"/>
                <w:sz w:val="24"/>
                <w:szCs w:val="24"/>
                <w:lang w:val="en-US" w:eastAsia="zh-CN"/>
              </w:rPr>
              <w:t>□维保  □修理</w:t>
            </w:r>
          </w:p>
          <w:p>
            <w:pPr>
              <w:keepNext w:val="0"/>
              <w:keepLines w:val="0"/>
              <w:suppressLineNumbers w:val="0"/>
              <w:adjustRightInd w:val="0"/>
              <w:snapToGrid w:val="0"/>
              <w:spacing w:before="0" w:beforeAutospacing="0" w:after="0" w:afterAutospacing="0"/>
              <w:ind w:left="0" w:right="0"/>
              <w:jc w:val="left"/>
              <w:rPr>
                <w:rFonts w:hint="eastAsia" w:eastAsia="宋体"/>
                <w:sz w:val="24"/>
                <w:szCs w:val="24"/>
                <w:lang w:val="en-US" w:eastAsia="zh-CN"/>
              </w:rPr>
            </w:pPr>
            <w:r>
              <w:rPr>
                <w:rFonts w:hint="eastAsia" w:cs="宋体"/>
                <w:color w:val="auto"/>
                <w:sz w:val="24"/>
                <w:szCs w:val="24"/>
                <w:lang w:val="en-US" w:eastAsia="zh-CN"/>
              </w:rPr>
              <w:t>□改造  □换新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83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rPr>
            </w:pPr>
          </w:p>
        </w:tc>
        <w:tc>
          <w:tcPr>
            <w:tcW w:w="5093" w:type="dxa"/>
            <w:gridSpan w:val="6"/>
            <w:vAlign w:val="top"/>
          </w:tcPr>
          <w:p>
            <w:pPr>
              <w:keepNext w:val="0"/>
              <w:keepLines w:val="0"/>
              <w:suppressLineNumbers w:val="0"/>
              <w:adjustRightInd w:val="0"/>
              <w:snapToGrid w:val="0"/>
              <w:spacing w:before="0" w:beforeAutospacing="0" w:after="0" w:afterAutospacing="0"/>
              <w:ind w:left="0" w:right="0"/>
              <w:jc w:val="left"/>
              <w:rPr>
                <w:rFonts w:hint="eastAsia" w:cs="宋体"/>
                <w:sz w:val="24"/>
                <w:szCs w:val="24"/>
                <w:lang w:eastAsia="zh-CN"/>
              </w:rPr>
            </w:pPr>
            <w:r>
              <w:rPr>
                <w:rFonts w:hint="eastAsia" w:cs="宋体"/>
                <w:sz w:val="24"/>
                <w:szCs w:val="24"/>
                <w:lang w:eastAsia="zh-CN"/>
              </w:rPr>
              <w:t>评价结论：</w:t>
            </w:r>
            <w:r>
              <w:rPr>
                <w:rFonts w:hint="eastAsia" w:cs="宋体"/>
                <w:sz w:val="24"/>
                <w:szCs w:val="24"/>
                <w:lang w:val="en-US" w:eastAsia="zh-CN"/>
              </w:rPr>
              <w:t>□</w:t>
            </w:r>
            <w:r>
              <w:rPr>
                <w:rFonts w:hint="eastAsia" w:cs="宋体"/>
                <w:sz w:val="24"/>
                <w:szCs w:val="24"/>
                <w:lang w:eastAsia="zh-CN"/>
              </w:rPr>
              <w:t>符合</w:t>
            </w:r>
            <w:r>
              <w:rPr>
                <w:rFonts w:hint="eastAsia" w:cs="宋体"/>
                <w:sz w:val="24"/>
                <w:szCs w:val="24"/>
                <w:lang w:val="en-US" w:eastAsia="zh-CN"/>
              </w:rPr>
              <w:t>□</w:t>
            </w:r>
            <w:r>
              <w:rPr>
                <w:rFonts w:hint="eastAsia" w:cs="宋体"/>
                <w:sz w:val="24"/>
                <w:szCs w:val="24"/>
                <w:lang w:eastAsia="zh-CN"/>
              </w:rPr>
              <w:t>不符合</w:t>
            </w:r>
          </w:p>
        </w:tc>
        <w:tc>
          <w:tcPr>
            <w:tcW w:w="2208" w:type="dxa"/>
            <w:vMerge w:val="continue"/>
            <w:vAlign w:val="top"/>
          </w:tcPr>
          <w:p>
            <w:pPr>
              <w:keepNext w:val="0"/>
              <w:keepLines w:val="0"/>
              <w:suppressLineNumbers w:val="0"/>
              <w:adjustRightInd w:val="0"/>
              <w:snapToGrid w:val="0"/>
              <w:spacing w:before="0" w:beforeAutospacing="0" w:after="0" w:afterAutospacing="0"/>
              <w:ind w:left="0" w:right="0"/>
              <w:jc w:val="center"/>
              <w:rPr>
                <w:rFonts w:hint="eastAsia"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jc w:val="center"/>
        </w:trPr>
        <w:tc>
          <w:tcPr>
            <w:tcW w:w="1835"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cs="宋体"/>
                <w:color w:val="auto"/>
                <w:sz w:val="24"/>
                <w:szCs w:val="24"/>
                <w:lang w:eastAsia="zh-CN"/>
              </w:rPr>
            </w:pPr>
            <w:r>
              <w:rPr>
                <w:rFonts w:hint="eastAsia" w:cs="宋体"/>
                <w:color w:val="auto"/>
                <w:sz w:val="24"/>
                <w:szCs w:val="24"/>
                <w:lang w:val="en-US" w:eastAsia="zh-CN"/>
              </w:rPr>
              <w:t>安全评价</w:t>
            </w:r>
          </w:p>
        </w:tc>
        <w:tc>
          <w:tcPr>
            <w:tcW w:w="5093" w:type="dxa"/>
            <w:gridSpan w:val="6"/>
            <w:vAlign w:val="top"/>
          </w:tcPr>
          <w:p>
            <w:pPr>
              <w:keepNext w:val="0"/>
              <w:keepLines w:val="0"/>
              <w:suppressLineNumbers w:val="0"/>
              <w:adjustRightInd w:val="0"/>
              <w:snapToGrid w:val="0"/>
              <w:spacing w:before="0" w:beforeAutospacing="0" w:after="0" w:afterAutospacing="0"/>
              <w:ind w:left="0" w:right="0"/>
              <w:jc w:val="left"/>
              <w:rPr>
                <w:rFonts w:hint="eastAsia" w:cs="宋体"/>
                <w:sz w:val="24"/>
                <w:szCs w:val="24"/>
                <w:lang w:eastAsia="zh-CN"/>
              </w:rPr>
            </w:pPr>
            <w:r>
              <w:rPr>
                <w:rFonts w:hint="eastAsia" w:cs="宋体"/>
                <w:sz w:val="24"/>
                <w:szCs w:val="24"/>
                <w:lang w:eastAsia="zh-CN"/>
              </w:rPr>
              <w:t>问题描述：</w:t>
            </w:r>
          </w:p>
          <w:p>
            <w:pPr>
              <w:keepNext w:val="0"/>
              <w:keepLines w:val="0"/>
              <w:suppressLineNumbers w:val="0"/>
              <w:adjustRightInd w:val="0"/>
              <w:snapToGrid w:val="0"/>
              <w:spacing w:before="0" w:beforeAutospacing="0" w:after="0" w:afterAutospacing="0"/>
              <w:ind w:left="0" w:right="0"/>
              <w:jc w:val="left"/>
              <w:rPr>
                <w:rFonts w:hint="eastAsia" w:cs="宋体"/>
                <w:sz w:val="24"/>
                <w:szCs w:val="24"/>
                <w:lang w:val="en-US" w:eastAsia="zh-CN"/>
              </w:rPr>
            </w:pPr>
          </w:p>
        </w:tc>
        <w:tc>
          <w:tcPr>
            <w:tcW w:w="2208" w:type="dxa"/>
            <w:vMerge w:val="restart"/>
            <w:vAlign w:val="top"/>
          </w:tcPr>
          <w:p>
            <w:pPr>
              <w:keepNext w:val="0"/>
              <w:keepLines w:val="0"/>
              <w:suppressLineNumbers w:val="0"/>
              <w:adjustRightInd w:val="0"/>
              <w:snapToGrid w:val="0"/>
              <w:spacing w:before="0" w:beforeAutospacing="0" w:after="0" w:afterAutospacing="0"/>
              <w:ind w:left="0" w:right="0"/>
              <w:jc w:val="left"/>
              <w:rPr>
                <w:rFonts w:hint="eastAsia" w:cs="宋体"/>
                <w:color w:val="auto"/>
                <w:sz w:val="24"/>
                <w:szCs w:val="24"/>
                <w:lang w:val="en-US" w:eastAsia="zh-CN"/>
              </w:rPr>
            </w:pPr>
            <w:r>
              <w:rPr>
                <w:rFonts w:hint="eastAsia" w:cs="宋体"/>
                <w:color w:val="auto"/>
                <w:sz w:val="24"/>
                <w:szCs w:val="24"/>
                <w:lang w:val="en-US" w:eastAsia="zh-CN"/>
              </w:rPr>
              <w:t>□维保  □修理</w:t>
            </w:r>
          </w:p>
          <w:p>
            <w:pPr>
              <w:keepNext w:val="0"/>
              <w:keepLines w:val="0"/>
              <w:suppressLineNumbers w:val="0"/>
              <w:adjustRightInd w:val="0"/>
              <w:snapToGrid w:val="0"/>
              <w:spacing w:before="0" w:beforeAutospacing="0" w:after="0" w:afterAutospacing="0"/>
              <w:ind w:left="0" w:leftChars="0" w:right="0" w:rightChars="0"/>
              <w:jc w:val="left"/>
              <w:rPr>
                <w:rFonts w:hint="eastAsia" w:eastAsia="宋体"/>
                <w:sz w:val="24"/>
                <w:szCs w:val="24"/>
                <w:lang w:val="en-US" w:eastAsia="zh-CN"/>
              </w:rPr>
            </w:pPr>
            <w:r>
              <w:rPr>
                <w:rFonts w:hint="eastAsia" w:cs="宋体"/>
                <w:color w:val="auto"/>
                <w:sz w:val="24"/>
                <w:szCs w:val="24"/>
                <w:lang w:val="en-US" w:eastAsia="zh-CN"/>
              </w:rPr>
              <w:t>□改造  □换新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jc w:val="center"/>
        </w:trPr>
        <w:tc>
          <w:tcPr>
            <w:tcW w:w="183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rPr>
            </w:pPr>
          </w:p>
        </w:tc>
        <w:tc>
          <w:tcPr>
            <w:tcW w:w="5093" w:type="dxa"/>
            <w:gridSpan w:val="6"/>
            <w:vAlign w:val="top"/>
          </w:tcPr>
          <w:p>
            <w:pPr>
              <w:keepNext w:val="0"/>
              <w:keepLines w:val="0"/>
              <w:suppressLineNumbers w:val="0"/>
              <w:adjustRightInd w:val="0"/>
              <w:snapToGrid w:val="0"/>
              <w:spacing w:before="0" w:beforeAutospacing="0" w:after="0" w:afterAutospacing="0"/>
              <w:ind w:left="0" w:right="0"/>
              <w:jc w:val="left"/>
              <w:rPr>
                <w:rFonts w:hint="eastAsia" w:eastAsia="宋体"/>
                <w:sz w:val="24"/>
                <w:szCs w:val="24"/>
                <w:lang w:val="en-US" w:eastAsia="zh-CN"/>
              </w:rPr>
            </w:pPr>
            <w:r>
              <w:rPr>
                <w:rFonts w:hint="eastAsia" w:cs="宋体"/>
                <w:sz w:val="24"/>
                <w:szCs w:val="24"/>
                <w:lang w:eastAsia="zh-CN"/>
              </w:rPr>
              <w:t>评价结论：</w:t>
            </w:r>
            <w:r>
              <w:rPr>
                <w:rFonts w:hint="eastAsia" w:cs="宋体"/>
                <w:sz w:val="24"/>
                <w:szCs w:val="24"/>
                <w:lang w:val="en-US" w:eastAsia="zh-CN"/>
              </w:rPr>
              <w:t>□</w:t>
            </w:r>
            <w:r>
              <w:rPr>
                <w:rFonts w:hint="eastAsia" w:cs="宋体"/>
                <w:sz w:val="24"/>
                <w:szCs w:val="24"/>
                <w:lang w:eastAsia="zh-CN"/>
              </w:rPr>
              <w:t>符合</w:t>
            </w:r>
            <w:r>
              <w:rPr>
                <w:rFonts w:hint="eastAsia" w:cs="宋体"/>
                <w:sz w:val="24"/>
                <w:szCs w:val="24"/>
                <w:lang w:val="en-US" w:eastAsia="zh-CN"/>
              </w:rPr>
              <w:t>□</w:t>
            </w:r>
            <w:r>
              <w:rPr>
                <w:rFonts w:hint="eastAsia" w:cs="宋体"/>
                <w:sz w:val="24"/>
                <w:szCs w:val="24"/>
                <w:lang w:eastAsia="zh-CN"/>
              </w:rPr>
              <w:t>不符合</w:t>
            </w:r>
          </w:p>
        </w:tc>
        <w:tc>
          <w:tcPr>
            <w:tcW w:w="2208" w:type="dxa"/>
            <w:vMerge w:val="continue"/>
            <w:vAlign w:val="top"/>
          </w:tcPr>
          <w:p>
            <w:pPr>
              <w:keepNext w:val="0"/>
              <w:keepLines w:val="0"/>
              <w:suppressLineNumbers w:val="0"/>
              <w:adjustRightInd w:val="0"/>
              <w:snapToGrid w:val="0"/>
              <w:spacing w:before="0" w:beforeAutospacing="0" w:after="0" w:afterAutospacing="0"/>
              <w:ind w:left="0" w:right="0"/>
              <w:jc w:val="center"/>
              <w:rPr>
                <w:rFonts w:hint="eastAsia"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1835"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cs="宋体"/>
                <w:color w:val="auto"/>
                <w:sz w:val="24"/>
                <w:szCs w:val="24"/>
                <w:lang w:eastAsia="zh-CN"/>
              </w:rPr>
            </w:pPr>
            <w:r>
              <w:rPr>
                <w:rFonts w:hint="eastAsia" w:cs="宋体"/>
                <w:color w:val="auto"/>
                <w:sz w:val="24"/>
                <w:szCs w:val="24"/>
                <w:lang w:val="en-US" w:eastAsia="zh-CN"/>
              </w:rPr>
              <w:t>寿命评价</w:t>
            </w:r>
          </w:p>
        </w:tc>
        <w:tc>
          <w:tcPr>
            <w:tcW w:w="5093" w:type="dxa"/>
            <w:gridSpan w:val="6"/>
            <w:vAlign w:val="top"/>
          </w:tcPr>
          <w:p>
            <w:pPr>
              <w:keepNext w:val="0"/>
              <w:keepLines w:val="0"/>
              <w:suppressLineNumbers w:val="0"/>
              <w:adjustRightInd w:val="0"/>
              <w:snapToGrid w:val="0"/>
              <w:spacing w:before="0" w:beforeAutospacing="0" w:after="0" w:afterAutospacing="0"/>
              <w:ind w:left="0" w:right="0"/>
              <w:jc w:val="left"/>
              <w:rPr>
                <w:rFonts w:hint="eastAsia" w:cs="宋体"/>
                <w:sz w:val="24"/>
                <w:szCs w:val="24"/>
                <w:lang w:eastAsia="zh-CN"/>
              </w:rPr>
            </w:pPr>
            <w:r>
              <w:rPr>
                <w:rFonts w:hint="eastAsia" w:cs="宋体"/>
                <w:sz w:val="24"/>
                <w:szCs w:val="24"/>
                <w:lang w:eastAsia="zh-CN"/>
              </w:rPr>
              <w:t>问题描述：</w:t>
            </w:r>
          </w:p>
          <w:p>
            <w:pPr>
              <w:keepNext w:val="0"/>
              <w:keepLines w:val="0"/>
              <w:suppressLineNumbers w:val="0"/>
              <w:adjustRightInd w:val="0"/>
              <w:snapToGrid w:val="0"/>
              <w:spacing w:before="0" w:beforeAutospacing="0" w:after="0" w:afterAutospacing="0"/>
              <w:ind w:left="0" w:right="0"/>
              <w:jc w:val="left"/>
              <w:rPr>
                <w:rFonts w:hint="eastAsia" w:cs="宋体"/>
                <w:sz w:val="24"/>
                <w:szCs w:val="24"/>
                <w:lang w:val="en-US" w:eastAsia="zh-CN"/>
              </w:rPr>
            </w:pPr>
          </w:p>
        </w:tc>
        <w:tc>
          <w:tcPr>
            <w:tcW w:w="2208" w:type="dxa"/>
            <w:vMerge w:val="restart"/>
            <w:vAlign w:val="top"/>
          </w:tcPr>
          <w:p>
            <w:pPr>
              <w:keepNext w:val="0"/>
              <w:keepLines w:val="0"/>
              <w:suppressLineNumbers w:val="0"/>
              <w:adjustRightInd w:val="0"/>
              <w:snapToGrid w:val="0"/>
              <w:spacing w:before="0" w:beforeAutospacing="0" w:after="0" w:afterAutospacing="0"/>
              <w:ind w:left="0" w:right="0"/>
              <w:jc w:val="left"/>
              <w:rPr>
                <w:rFonts w:hint="eastAsia" w:cs="宋体"/>
                <w:color w:val="auto"/>
                <w:sz w:val="24"/>
                <w:szCs w:val="24"/>
                <w:lang w:val="en-US" w:eastAsia="zh-CN"/>
              </w:rPr>
            </w:pPr>
            <w:r>
              <w:rPr>
                <w:rFonts w:hint="eastAsia" w:cs="宋体"/>
                <w:color w:val="auto"/>
                <w:sz w:val="24"/>
                <w:szCs w:val="24"/>
                <w:lang w:val="en-US" w:eastAsia="zh-CN"/>
              </w:rPr>
              <w:t>□维保  □修理</w:t>
            </w:r>
          </w:p>
          <w:p>
            <w:pPr>
              <w:keepNext w:val="0"/>
              <w:keepLines w:val="0"/>
              <w:suppressLineNumbers w:val="0"/>
              <w:adjustRightInd w:val="0"/>
              <w:snapToGrid w:val="0"/>
              <w:spacing w:before="0" w:beforeAutospacing="0" w:after="0" w:afterAutospacing="0"/>
              <w:ind w:left="0" w:leftChars="0" w:right="0" w:rightChars="0"/>
              <w:jc w:val="left"/>
              <w:rPr>
                <w:rFonts w:hint="eastAsia" w:eastAsia="宋体"/>
                <w:sz w:val="24"/>
                <w:szCs w:val="24"/>
                <w:lang w:val="en-US" w:eastAsia="zh-CN"/>
              </w:rPr>
            </w:pPr>
            <w:r>
              <w:rPr>
                <w:rFonts w:hint="eastAsia" w:cs="宋体"/>
                <w:color w:val="auto"/>
                <w:sz w:val="24"/>
                <w:szCs w:val="24"/>
                <w:lang w:val="en-US" w:eastAsia="zh-CN"/>
              </w:rPr>
              <w:t>□改造  □换新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jc w:val="center"/>
        </w:trPr>
        <w:tc>
          <w:tcPr>
            <w:tcW w:w="183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rPr>
            </w:pPr>
          </w:p>
        </w:tc>
        <w:tc>
          <w:tcPr>
            <w:tcW w:w="5093" w:type="dxa"/>
            <w:gridSpan w:val="6"/>
            <w:vAlign w:val="top"/>
          </w:tcPr>
          <w:p>
            <w:pPr>
              <w:keepNext w:val="0"/>
              <w:keepLines w:val="0"/>
              <w:suppressLineNumbers w:val="0"/>
              <w:adjustRightInd w:val="0"/>
              <w:snapToGrid w:val="0"/>
              <w:spacing w:before="0" w:beforeAutospacing="0" w:after="0" w:afterAutospacing="0"/>
              <w:ind w:left="0" w:right="0"/>
              <w:jc w:val="left"/>
              <w:rPr>
                <w:rFonts w:hint="eastAsia" w:eastAsia="宋体"/>
                <w:sz w:val="24"/>
                <w:szCs w:val="24"/>
                <w:lang w:val="en-US" w:eastAsia="zh-CN"/>
              </w:rPr>
            </w:pPr>
            <w:r>
              <w:rPr>
                <w:rFonts w:hint="eastAsia" w:cs="宋体"/>
                <w:sz w:val="24"/>
                <w:szCs w:val="24"/>
                <w:lang w:eastAsia="zh-CN"/>
              </w:rPr>
              <w:t>评价结论：</w:t>
            </w:r>
            <w:r>
              <w:rPr>
                <w:rFonts w:hint="eastAsia" w:cs="宋体"/>
                <w:sz w:val="24"/>
                <w:szCs w:val="24"/>
                <w:lang w:val="en-US" w:eastAsia="zh-CN"/>
              </w:rPr>
              <w:t>□寿命未结束□寿命结束</w:t>
            </w:r>
          </w:p>
        </w:tc>
        <w:tc>
          <w:tcPr>
            <w:tcW w:w="2208" w:type="dxa"/>
            <w:vMerge w:val="continue"/>
            <w:vAlign w:val="top"/>
          </w:tcPr>
          <w:p>
            <w:pPr>
              <w:keepNext w:val="0"/>
              <w:keepLines w:val="0"/>
              <w:suppressLineNumbers w:val="0"/>
              <w:adjustRightInd w:val="0"/>
              <w:snapToGrid w:val="0"/>
              <w:spacing w:before="0" w:beforeAutospacing="0" w:after="0" w:afterAutospacing="0"/>
              <w:ind w:left="0" w:right="0"/>
              <w:rPr>
                <w:rFonts w:hint="eastAsia"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1835"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cs="宋体"/>
                <w:color w:val="auto"/>
                <w:sz w:val="24"/>
                <w:szCs w:val="24"/>
                <w:lang w:eastAsia="zh-CN"/>
              </w:rPr>
            </w:pPr>
            <w:r>
              <w:rPr>
                <w:rFonts w:hint="eastAsia" w:cs="宋体"/>
                <w:color w:val="auto"/>
                <w:sz w:val="24"/>
                <w:szCs w:val="24"/>
                <w:lang w:val="en-US" w:eastAsia="zh-CN"/>
              </w:rPr>
              <w:t>节能评价</w:t>
            </w:r>
          </w:p>
        </w:tc>
        <w:tc>
          <w:tcPr>
            <w:tcW w:w="5093" w:type="dxa"/>
            <w:gridSpan w:val="6"/>
            <w:vAlign w:val="top"/>
          </w:tcPr>
          <w:p>
            <w:pPr>
              <w:keepNext w:val="0"/>
              <w:keepLines w:val="0"/>
              <w:suppressLineNumbers w:val="0"/>
              <w:adjustRightInd w:val="0"/>
              <w:snapToGrid w:val="0"/>
              <w:spacing w:before="0" w:beforeAutospacing="0" w:after="0" w:afterAutospacing="0"/>
              <w:ind w:left="0" w:right="0"/>
              <w:jc w:val="left"/>
              <w:rPr>
                <w:rFonts w:hint="eastAsia" w:cs="宋体"/>
                <w:sz w:val="24"/>
                <w:szCs w:val="24"/>
                <w:lang w:eastAsia="zh-CN"/>
              </w:rPr>
            </w:pPr>
            <w:r>
              <w:rPr>
                <w:rFonts w:hint="eastAsia" w:cs="宋体"/>
                <w:sz w:val="24"/>
                <w:szCs w:val="24"/>
                <w:lang w:eastAsia="zh-CN"/>
              </w:rPr>
              <w:t>问题描述：</w:t>
            </w:r>
          </w:p>
          <w:p>
            <w:pPr>
              <w:keepNext w:val="0"/>
              <w:keepLines w:val="0"/>
              <w:suppressLineNumbers w:val="0"/>
              <w:adjustRightInd w:val="0"/>
              <w:snapToGrid w:val="0"/>
              <w:spacing w:before="0" w:beforeAutospacing="0" w:after="0" w:afterAutospacing="0"/>
              <w:ind w:left="0" w:right="0"/>
              <w:jc w:val="left"/>
              <w:rPr>
                <w:rFonts w:hint="eastAsia" w:cs="宋体"/>
                <w:sz w:val="24"/>
                <w:szCs w:val="24"/>
                <w:lang w:val="en-US" w:eastAsia="zh-CN"/>
              </w:rPr>
            </w:pPr>
          </w:p>
        </w:tc>
        <w:tc>
          <w:tcPr>
            <w:tcW w:w="2208" w:type="dxa"/>
            <w:vMerge w:val="restart"/>
            <w:vAlign w:val="top"/>
          </w:tcPr>
          <w:p>
            <w:pPr>
              <w:keepNext w:val="0"/>
              <w:keepLines w:val="0"/>
              <w:suppressLineNumbers w:val="0"/>
              <w:adjustRightInd w:val="0"/>
              <w:snapToGrid w:val="0"/>
              <w:spacing w:before="0" w:beforeAutospacing="0" w:after="0" w:afterAutospacing="0"/>
              <w:ind w:left="0" w:right="0"/>
              <w:jc w:val="left"/>
              <w:rPr>
                <w:rFonts w:hint="eastAsia" w:cs="宋体"/>
                <w:color w:val="auto"/>
                <w:sz w:val="24"/>
                <w:szCs w:val="24"/>
                <w:lang w:val="en-US" w:eastAsia="zh-CN"/>
              </w:rPr>
            </w:pPr>
            <w:r>
              <w:rPr>
                <w:rFonts w:hint="eastAsia" w:cs="宋体"/>
                <w:color w:val="auto"/>
                <w:sz w:val="24"/>
                <w:szCs w:val="24"/>
                <w:lang w:val="en-US" w:eastAsia="zh-CN"/>
              </w:rPr>
              <w:t>□维保  □修理</w:t>
            </w:r>
          </w:p>
          <w:p>
            <w:pPr>
              <w:keepNext w:val="0"/>
              <w:keepLines w:val="0"/>
              <w:suppressLineNumbers w:val="0"/>
              <w:adjustRightInd w:val="0"/>
              <w:snapToGrid w:val="0"/>
              <w:spacing w:before="0" w:beforeAutospacing="0" w:after="0" w:afterAutospacing="0"/>
              <w:ind w:left="0" w:right="0"/>
              <w:jc w:val="left"/>
              <w:rPr>
                <w:rFonts w:hint="eastAsia" w:ascii="宋体" w:hAnsi="宋体"/>
                <w:sz w:val="24"/>
                <w:lang w:val="en-US" w:eastAsia="zh-CN"/>
              </w:rPr>
            </w:pPr>
            <w:r>
              <w:rPr>
                <w:rFonts w:hint="eastAsia" w:cs="宋体"/>
                <w:color w:val="auto"/>
                <w:sz w:val="24"/>
                <w:szCs w:val="24"/>
                <w:lang w:val="en-US" w:eastAsia="zh-CN"/>
              </w:rPr>
              <w:t>□改造  □换新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jc w:val="center"/>
        </w:trPr>
        <w:tc>
          <w:tcPr>
            <w:tcW w:w="1835"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rPr>
            </w:pPr>
          </w:p>
        </w:tc>
        <w:tc>
          <w:tcPr>
            <w:tcW w:w="5093" w:type="dxa"/>
            <w:gridSpan w:val="6"/>
            <w:vAlign w:val="top"/>
          </w:tcPr>
          <w:p>
            <w:pPr>
              <w:keepNext w:val="0"/>
              <w:keepLines w:val="0"/>
              <w:suppressLineNumbers w:val="0"/>
              <w:adjustRightInd w:val="0"/>
              <w:snapToGrid w:val="0"/>
              <w:spacing w:before="0" w:beforeAutospacing="0" w:after="0" w:afterAutospacing="0"/>
              <w:ind w:left="0" w:right="0"/>
              <w:jc w:val="left"/>
              <w:rPr>
                <w:rFonts w:hint="eastAsia" w:eastAsia="宋体"/>
                <w:sz w:val="24"/>
                <w:szCs w:val="24"/>
                <w:lang w:val="en-US" w:eastAsia="zh-CN"/>
              </w:rPr>
            </w:pPr>
            <w:r>
              <w:rPr>
                <w:rFonts w:hint="eastAsia" w:cs="宋体"/>
                <w:sz w:val="24"/>
                <w:szCs w:val="24"/>
                <w:lang w:eastAsia="zh-CN"/>
              </w:rPr>
              <w:t>评价结论：</w:t>
            </w:r>
            <w:r>
              <w:rPr>
                <w:rFonts w:hint="eastAsia" w:cs="宋体"/>
                <w:sz w:val="24"/>
                <w:szCs w:val="24"/>
                <w:lang w:val="en-US" w:eastAsia="zh-CN"/>
              </w:rPr>
              <w:t>□</w:t>
            </w:r>
            <w:r>
              <w:rPr>
                <w:rFonts w:hint="eastAsia" w:cs="宋体"/>
                <w:sz w:val="24"/>
                <w:szCs w:val="24"/>
                <w:lang w:eastAsia="zh-CN"/>
              </w:rPr>
              <w:t>符合</w:t>
            </w:r>
            <w:r>
              <w:rPr>
                <w:rFonts w:hint="eastAsia" w:cs="宋体"/>
                <w:sz w:val="24"/>
                <w:szCs w:val="24"/>
                <w:lang w:val="en-US" w:eastAsia="zh-CN"/>
              </w:rPr>
              <w:t>□</w:t>
            </w:r>
            <w:r>
              <w:rPr>
                <w:rFonts w:hint="eastAsia" w:cs="宋体"/>
                <w:sz w:val="24"/>
                <w:szCs w:val="24"/>
                <w:lang w:eastAsia="zh-CN"/>
              </w:rPr>
              <w:t>不符合</w:t>
            </w:r>
          </w:p>
        </w:tc>
        <w:tc>
          <w:tcPr>
            <w:tcW w:w="2208" w:type="dxa"/>
            <w:vMerge w:val="continue"/>
            <w:vAlign w:val="top"/>
          </w:tcPr>
          <w:p>
            <w:pPr>
              <w:keepNext w:val="0"/>
              <w:keepLines w:val="0"/>
              <w:suppressLineNumbers w:val="0"/>
              <w:adjustRightInd w:val="0"/>
              <w:snapToGrid w:val="0"/>
              <w:spacing w:before="0" w:beforeAutospacing="0" w:after="0" w:afterAutospacing="0"/>
              <w:ind w:left="0" w:right="0"/>
              <w:rPr>
                <w:rFonts w:hint="eastAsia"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1835"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cs="宋体"/>
                <w:color w:val="auto"/>
                <w:sz w:val="24"/>
                <w:szCs w:val="24"/>
                <w:lang w:eastAsia="zh-CN"/>
              </w:rPr>
            </w:pPr>
            <w:r>
              <w:rPr>
                <w:rFonts w:hint="eastAsia" w:cs="宋体"/>
                <w:color w:val="auto"/>
                <w:sz w:val="24"/>
                <w:szCs w:val="24"/>
                <w:lang w:val="en-US" w:eastAsia="zh-CN"/>
              </w:rPr>
              <w:t>环保评价</w:t>
            </w:r>
          </w:p>
        </w:tc>
        <w:tc>
          <w:tcPr>
            <w:tcW w:w="5093" w:type="dxa"/>
            <w:gridSpan w:val="6"/>
            <w:vAlign w:val="top"/>
          </w:tcPr>
          <w:p>
            <w:pPr>
              <w:keepNext w:val="0"/>
              <w:keepLines w:val="0"/>
              <w:suppressLineNumbers w:val="0"/>
              <w:adjustRightInd w:val="0"/>
              <w:snapToGrid w:val="0"/>
              <w:spacing w:before="0" w:beforeAutospacing="0" w:after="0" w:afterAutospacing="0"/>
              <w:ind w:left="0" w:right="0"/>
              <w:jc w:val="left"/>
              <w:rPr>
                <w:rFonts w:hint="eastAsia" w:cs="宋体"/>
                <w:sz w:val="24"/>
                <w:szCs w:val="24"/>
                <w:lang w:eastAsia="zh-CN"/>
              </w:rPr>
            </w:pPr>
            <w:r>
              <w:rPr>
                <w:rFonts w:hint="eastAsia" w:cs="宋体"/>
                <w:sz w:val="24"/>
                <w:szCs w:val="24"/>
                <w:lang w:eastAsia="zh-CN"/>
              </w:rPr>
              <w:t>问题描述：</w:t>
            </w:r>
          </w:p>
          <w:p>
            <w:pPr>
              <w:keepNext w:val="0"/>
              <w:keepLines w:val="0"/>
              <w:suppressLineNumbers w:val="0"/>
              <w:adjustRightInd w:val="0"/>
              <w:snapToGrid w:val="0"/>
              <w:spacing w:before="0" w:beforeAutospacing="0" w:after="0" w:afterAutospacing="0"/>
              <w:ind w:left="0" w:right="0"/>
              <w:jc w:val="left"/>
              <w:rPr>
                <w:rFonts w:hint="eastAsia" w:cs="宋体"/>
                <w:sz w:val="24"/>
                <w:szCs w:val="24"/>
                <w:lang w:eastAsia="zh-CN"/>
              </w:rPr>
            </w:pPr>
          </w:p>
        </w:tc>
        <w:tc>
          <w:tcPr>
            <w:tcW w:w="2208" w:type="dxa"/>
            <w:vMerge w:val="restart"/>
            <w:vAlign w:val="top"/>
          </w:tcPr>
          <w:p>
            <w:pPr>
              <w:keepNext w:val="0"/>
              <w:keepLines w:val="0"/>
              <w:suppressLineNumbers w:val="0"/>
              <w:adjustRightInd w:val="0"/>
              <w:snapToGrid w:val="0"/>
              <w:spacing w:before="0" w:beforeAutospacing="0" w:after="0" w:afterAutospacing="0"/>
              <w:ind w:left="0" w:right="0"/>
              <w:jc w:val="left"/>
              <w:rPr>
                <w:rFonts w:hint="eastAsia" w:cs="宋体"/>
                <w:color w:val="auto"/>
                <w:sz w:val="24"/>
                <w:szCs w:val="24"/>
                <w:lang w:val="en-US" w:eastAsia="zh-CN"/>
              </w:rPr>
            </w:pPr>
            <w:r>
              <w:rPr>
                <w:rFonts w:hint="eastAsia" w:cs="宋体"/>
                <w:color w:val="auto"/>
                <w:sz w:val="24"/>
                <w:szCs w:val="24"/>
                <w:lang w:val="en-US" w:eastAsia="zh-CN"/>
              </w:rPr>
              <w:t>□维保  □修理</w:t>
            </w:r>
          </w:p>
          <w:p>
            <w:pPr>
              <w:keepNext w:val="0"/>
              <w:keepLines w:val="0"/>
              <w:suppressLineNumbers w:val="0"/>
              <w:adjustRightInd w:val="0"/>
              <w:snapToGrid w:val="0"/>
              <w:spacing w:before="0" w:beforeAutospacing="0" w:after="0" w:afterAutospacing="0"/>
              <w:ind w:left="0" w:right="0"/>
              <w:jc w:val="left"/>
              <w:rPr>
                <w:rFonts w:hint="default"/>
                <w:sz w:val="24"/>
                <w:szCs w:val="24"/>
              </w:rPr>
            </w:pPr>
            <w:r>
              <w:rPr>
                <w:rFonts w:hint="eastAsia" w:cs="宋体"/>
                <w:color w:val="auto"/>
                <w:sz w:val="24"/>
                <w:szCs w:val="24"/>
                <w:lang w:val="en-US" w:eastAsia="zh-CN"/>
              </w:rPr>
              <w:t>□改造  □换新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835" w:type="dxa"/>
            <w:vMerge w:val="continue"/>
            <w:vAlign w:val="top"/>
          </w:tcPr>
          <w:p>
            <w:pPr>
              <w:keepNext w:val="0"/>
              <w:keepLines w:val="0"/>
              <w:suppressLineNumbers w:val="0"/>
              <w:adjustRightInd w:val="0"/>
              <w:snapToGrid w:val="0"/>
              <w:spacing w:before="0" w:beforeAutospacing="0" w:after="0" w:afterAutospacing="0"/>
              <w:ind w:left="0" w:right="0"/>
              <w:rPr>
                <w:rFonts w:hint="default"/>
              </w:rPr>
            </w:pPr>
          </w:p>
        </w:tc>
        <w:tc>
          <w:tcPr>
            <w:tcW w:w="5093" w:type="dxa"/>
            <w:gridSpan w:val="6"/>
            <w:vAlign w:val="top"/>
          </w:tcPr>
          <w:p>
            <w:pPr>
              <w:keepNext w:val="0"/>
              <w:keepLines w:val="0"/>
              <w:suppressLineNumbers w:val="0"/>
              <w:adjustRightInd w:val="0"/>
              <w:snapToGrid w:val="0"/>
              <w:spacing w:before="0" w:beforeAutospacing="0" w:after="0" w:afterAutospacing="0"/>
              <w:ind w:left="0" w:right="0"/>
              <w:jc w:val="left"/>
              <w:rPr>
                <w:rFonts w:hint="eastAsia"/>
                <w:color w:val="FF0000"/>
                <w:szCs w:val="22"/>
                <w:highlight w:val="none"/>
                <w:lang w:val="en-US" w:eastAsia="zh-CN"/>
              </w:rPr>
            </w:pPr>
            <w:r>
              <w:rPr>
                <w:rFonts w:hint="eastAsia" w:cs="宋体"/>
                <w:sz w:val="24"/>
                <w:szCs w:val="24"/>
                <w:lang w:eastAsia="zh-CN"/>
              </w:rPr>
              <w:t>评价结论：</w:t>
            </w:r>
            <w:r>
              <w:rPr>
                <w:rFonts w:hint="eastAsia" w:cs="宋体"/>
                <w:sz w:val="24"/>
                <w:szCs w:val="24"/>
                <w:lang w:val="en-US" w:eastAsia="zh-CN"/>
              </w:rPr>
              <w:t>□</w:t>
            </w:r>
            <w:r>
              <w:rPr>
                <w:rFonts w:hint="eastAsia" w:cs="宋体"/>
                <w:sz w:val="24"/>
                <w:szCs w:val="24"/>
                <w:lang w:eastAsia="zh-CN"/>
              </w:rPr>
              <w:t>符合</w:t>
            </w:r>
            <w:r>
              <w:rPr>
                <w:rFonts w:hint="eastAsia" w:cs="宋体"/>
                <w:sz w:val="24"/>
                <w:szCs w:val="24"/>
                <w:lang w:val="en-US" w:eastAsia="zh-CN"/>
              </w:rPr>
              <w:t>□</w:t>
            </w:r>
            <w:r>
              <w:rPr>
                <w:rFonts w:hint="eastAsia" w:cs="宋体"/>
                <w:sz w:val="24"/>
                <w:szCs w:val="24"/>
                <w:lang w:eastAsia="zh-CN"/>
              </w:rPr>
              <w:t>不符合</w:t>
            </w:r>
          </w:p>
        </w:tc>
        <w:tc>
          <w:tcPr>
            <w:tcW w:w="2208" w:type="dxa"/>
            <w:vMerge w:val="continue"/>
            <w:vAlign w:val="top"/>
          </w:tcPr>
          <w:p>
            <w:pPr>
              <w:keepNext w:val="0"/>
              <w:keepLines w:val="0"/>
              <w:suppressLineNumbers w:val="0"/>
              <w:adjustRightInd w:val="0"/>
              <w:snapToGrid w:val="0"/>
              <w:spacing w:before="0" w:beforeAutospacing="0" w:after="0" w:afterAutospacing="0"/>
              <w:ind w:left="0" w:right="0"/>
              <w:rPr>
                <w:rFonts w:hint="eastAsia"/>
                <w:color w:val="FF0000"/>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2" w:hRule="atLeast"/>
          <w:jc w:val="center"/>
        </w:trPr>
        <w:tc>
          <w:tcPr>
            <w:tcW w:w="1835" w:type="dxa"/>
            <w:vAlign w:val="center"/>
          </w:tcPr>
          <w:p>
            <w:pPr>
              <w:keepNext w:val="0"/>
              <w:keepLines w:val="0"/>
              <w:suppressLineNumbers w:val="0"/>
              <w:adjustRightInd w:val="0"/>
              <w:snapToGrid w:val="0"/>
              <w:spacing w:before="0" w:beforeAutospacing="0" w:after="0" w:afterAutospacing="0"/>
              <w:ind w:left="0" w:right="0"/>
              <w:jc w:val="center"/>
              <w:rPr>
                <w:rFonts w:hint="default"/>
                <w:sz w:val="24"/>
                <w:szCs w:val="24"/>
              </w:rPr>
            </w:pPr>
            <w:r>
              <w:rPr>
                <w:rFonts w:hint="eastAsia" w:cs="宋体"/>
                <w:sz w:val="24"/>
                <w:szCs w:val="24"/>
                <w:lang w:eastAsia="zh-CN"/>
              </w:rPr>
              <w:t>评估建议</w:t>
            </w:r>
          </w:p>
        </w:tc>
        <w:tc>
          <w:tcPr>
            <w:tcW w:w="7301" w:type="dxa"/>
            <w:gridSpan w:val="7"/>
            <w:vAlign w:val="top"/>
          </w:tcPr>
          <w:p>
            <w:pPr>
              <w:keepNext w:val="0"/>
              <w:keepLines w:val="0"/>
              <w:suppressLineNumbers w:val="0"/>
              <w:adjustRightInd w:val="0"/>
              <w:snapToGrid w:val="0"/>
              <w:spacing w:before="0" w:beforeAutospacing="0" w:after="0" w:afterAutospacing="0"/>
              <w:ind w:left="0" w:right="0"/>
              <w:rPr>
                <w:rFonts w:hint="eastAsia"/>
                <w:sz w:val="24"/>
                <w:szCs w:val="24"/>
                <w:lang w:val="en-US" w:eastAsia="zh-CN"/>
              </w:rPr>
            </w:pPr>
          </w:p>
          <w:p>
            <w:pPr>
              <w:keepNext w:val="0"/>
              <w:keepLines w:val="0"/>
              <w:suppressLineNumbers w:val="0"/>
              <w:adjustRightInd w:val="0"/>
              <w:snapToGrid w:val="0"/>
              <w:spacing w:before="0" w:beforeAutospacing="0" w:after="0" w:afterAutospacing="0"/>
              <w:ind w:left="0" w:right="0"/>
              <w:rPr>
                <w:rFonts w:hint="eastAsia"/>
                <w:sz w:val="24"/>
                <w:szCs w:val="24"/>
                <w:lang w:val="en-US" w:eastAsia="zh-CN"/>
              </w:rPr>
            </w:pPr>
          </w:p>
          <w:p>
            <w:pPr>
              <w:keepNext w:val="0"/>
              <w:keepLines w:val="0"/>
              <w:suppressLineNumbers w:val="0"/>
              <w:adjustRightInd w:val="0"/>
              <w:snapToGrid w:val="0"/>
              <w:spacing w:before="0" w:beforeAutospacing="0" w:after="0" w:afterAutospacing="0"/>
              <w:ind w:left="0" w:right="0"/>
              <w:rPr>
                <w:rFonts w:hint="eastAsia"/>
                <w:sz w:val="24"/>
                <w:szCs w:val="24"/>
                <w:lang w:val="en-US" w:eastAsia="zh-CN"/>
              </w:rPr>
            </w:pPr>
          </w:p>
          <w:p>
            <w:pPr>
              <w:keepNext w:val="0"/>
              <w:keepLines w:val="0"/>
              <w:suppressLineNumbers w:val="0"/>
              <w:adjustRightInd w:val="0"/>
              <w:snapToGrid w:val="0"/>
              <w:spacing w:before="0" w:beforeAutospacing="0" w:after="0" w:afterAutospacing="0"/>
              <w:ind w:left="0" w:right="0"/>
              <w:rPr>
                <w:rFonts w:hint="eastAsia"/>
                <w:sz w:val="24"/>
                <w:szCs w:val="24"/>
                <w:lang w:val="en-US" w:eastAsia="zh-CN"/>
              </w:rPr>
            </w:pPr>
          </w:p>
          <w:p>
            <w:pPr>
              <w:keepNext w:val="0"/>
              <w:keepLines w:val="0"/>
              <w:suppressLineNumbers w:val="0"/>
              <w:adjustRightInd w:val="0"/>
              <w:snapToGrid w:val="0"/>
              <w:spacing w:before="0" w:beforeAutospacing="0" w:after="0" w:afterAutospacing="0"/>
              <w:ind w:left="0" w:right="0"/>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1835" w:type="dxa"/>
            <w:vAlign w:val="top"/>
          </w:tcPr>
          <w:p>
            <w:pPr>
              <w:keepNext w:val="0"/>
              <w:keepLines w:val="0"/>
              <w:suppressLineNumbers w:val="0"/>
              <w:adjustRightInd w:val="0"/>
              <w:snapToGrid w:val="0"/>
              <w:spacing w:before="0" w:beforeAutospacing="0" w:after="0" w:afterAutospacing="0"/>
              <w:ind w:left="0" w:right="0"/>
              <w:rPr>
                <w:rFonts w:hint="default"/>
                <w:sz w:val="24"/>
                <w:szCs w:val="24"/>
              </w:rPr>
            </w:pPr>
            <w:r>
              <w:rPr>
                <w:rFonts w:hint="eastAsia" w:cs="宋体"/>
                <w:sz w:val="24"/>
                <w:szCs w:val="24"/>
                <w:lang w:eastAsia="zh-CN"/>
              </w:rPr>
              <w:t>评估</w:t>
            </w:r>
            <w:r>
              <w:rPr>
                <w:rFonts w:hint="eastAsia" w:cs="宋体"/>
                <w:sz w:val="24"/>
                <w:szCs w:val="24"/>
              </w:rPr>
              <w:t>人员</w:t>
            </w:r>
          </w:p>
        </w:tc>
        <w:tc>
          <w:tcPr>
            <w:tcW w:w="1231" w:type="dxa"/>
            <w:vAlign w:val="top"/>
          </w:tcPr>
          <w:p>
            <w:pPr>
              <w:keepNext w:val="0"/>
              <w:keepLines w:val="0"/>
              <w:suppressLineNumbers w:val="0"/>
              <w:adjustRightInd w:val="0"/>
              <w:snapToGrid w:val="0"/>
              <w:spacing w:before="0" w:beforeAutospacing="0" w:after="0" w:afterAutospacing="0"/>
              <w:ind w:left="0" w:right="0"/>
              <w:rPr>
                <w:rFonts w:hint="default"/>
                <w:sz w:val="24"/>
                <w:szCs w:val="24"/>
              </w:rPr>
            </w:pPr>
          </w:p>
        </w:tc>
        <w:tc>
          <w:tcPr>
            <w:tcW w:w="848" w:type="dxa"/>
            <w:vAlign w:val="top"/>
          </w:tcPr>
          <w:p>
            <w:pPr>
              <w:keepNext w:val="0"/>
              <w:keepLines w:val="0"/>
              <w:suppressLineNumbers w:val="0"/>
              <w:adjustRightInd w:val="0"/>
              <w:snapToGrid w:val="0"/>
              <w:spacing w:before="0" w:beforeAutospacing="0" w:after="0" w:afterAutospacing="0"/>
              <w:ind w:left="0" w:right="0"/>
              <w:rPr>
                <w:rFonts w:hint="default"/>
                <w:sz w:val="24"/>
                <w:szCs w:val="24"/>
              </w:rPr>
            </w:pPr>
            <w:r>
              <w:rPr>
                <w:rFonts w:hint="eastAsia" w:cs="宋体"/>
                <w:sz w:val="24"/>
                <w:szCs w:val="24"/>
              </w:rPr>
              <w:t>日期</w:t>
            </w:r>
          </w:p>
        </w:tc>
        <w:tc>
          <w:tcPr>
            <w:tcW w:w="1547" w:type="dxa"/>
            <w:gridSpan w:val="2"/>
            <w:vAlign w:val="top"/>
          </w:tcPr>
          <w:p>
            <w:pPr>
              <w:keepNext w:val="0"/>
              <w:keepLines w:val="0"/>
              <w:suppressLineNumbers w:val="0"/>
              <w:adjustRightInd w:val="0"/>
              <w:snapToGrid w:val="0"/>
              <w:spacing w:before="0" w:beforeAutospacing="0" w:after="0" w:afterAutospacing="0"/>
              <w:ind w:left="0" w:right="0"/>
              <w:rPr>
                <w:rFonts w:hint="default"/>
                <w:sz w:val="24"/>
                <w:szCs w:val="24"/>
              </w:rPr>
            </w:pPr>
          </w:p>
        </w:tc>
        <w:tc>
          <w:tcPr>
            <w:tcW w:w="3675" w:type="dxa"/>
            <w:gridSpan w:val="3"/>
            <w:vMerge w:val="restart"/>
            <w:vAlign w:val="top"/>
          </w:tcPr>
          <w:p>
            <w:pPr>
              <w:keepNext w:val="0"/>
              <w:keepLines w:val="0"/>
              <w:suppressLineNumbers w:val="0"/>
              <w:adjustRightInd w:val="0"/>
              <w:snapToGrid w:val="0"/>
              <w:spacing w:before="0" w:beforeAutospacing="0" w:after="0" w:afterAutospacing="0"/>
              <w:ind w:left="0" w:right="0"/>
              <w:jc w:val="center"/>
              <w:rPr>
                <w:rFonts w:hint="default"/>
              </w:rPr>
            </w:pPr>
          </w:p>
          <w:p>
            <w:pPr>
              <w:keepNext w:val="0"/>
              <w:keepLines w:val="0"/>
              <w:suppressLineNumbers w:val="0"/>
              <w:adjustRightInd w:val="0"/>
              <w:snapToGrid w:val="0"/>
              <w:spacing w:before="0" w:beforeAutospacing="0" w:after="0" w:afterAutospacing="0"/>
              <w:ind w:left="0" w:right="0"/>
              <w:jc w:val="right"/>
              <w:rPr>
                <w:rFonts w:hint="eastAsia" w:cs="宋体"/>
              </w:rPr>
            </w:pPr>
          </w:p>
          <w:p>
            <w:pPr>
              <w:keepNext w:val="0"/>
              <w:keepLines w:val="0"/>
              <w:suppressLineNumbers w:val="0"/>
              <w:adjustRightInd w:val="0"/>
              <w:snapToGrid w:val="0"/>
              <w:spacing w:before="0" w:beforeAutospacing="0" w:after="0" w:afterAutospacing="0"/>
              <w:ind w:left="0" w:right="0"/>
              <w:jc w:val="right"/>
              <w:rPr>
                <w:rFonts w:hint="default"/>
                <w:sz w:val="24"/>
                <w:szCs w:val="24"/>
              </w:rPr>
            </w:pPr>
            <w:r>
              <w:rPr>
                <w:rFonts w:hint="eastAsia" w:cs="宋体"/>
              </w:rPr>
              <w:t>（</w:t>
            </w:r>
            <w:r>
              <w:rPr>
                <w:rFonts w:hint="eastAsia" w:cs="宋体"/>
                <w:lang w:eastAsia="zh-CN"/>
              </w:rPr>
              <w:t>评估</w:t>
            </w:r>
            <w:r>
              <w:rPr>
                <w:rFonts w:hint="eastAsia" w:cs="宋体"/>
              </w:rPr>
              <w:t>机构专用章或者公章）</w:t>
            </w:r>
            <w:r>
              <w:rPr>
                <w:rFonts w:hint="default"/>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jc w:val="center"/>
        </w:trPr>
        <w:tc>
          <w:tcPr>
            <w:tcW w:w="1835" w:type="dxa"/>
            <w:vAlign w:val="top"/>
          </w:tcPr>
          <w:p>
            <w:pPr>
              <w:keepNext w:val="0"/>
              <w:keepLines w:val="0"/>
              <w:suppressLineNumbers w:val="0"/>
              <w:adjustRightInd w:val="0"/>
              <w:snapToGrid w:val="0"/>
              <w:spacing w:before="0" w:beforeAutospacing="0" w:after="0" w:afterAutospacing="0"/>
              <w:ind w:left="0" w:right="0"/>
              <w:rPr>
                <w:rFonts w:hint="eastAsia" w:cs="宋体"/>
                <w:sz w:val="24"/>
                <w:szCs w:val="24"/>
              </w:rPr>
            </w:pPr>
            <w:r>
              <w:rPr>
                <w:rFonts w:hint="eastAsia" w:cs="宋体"/>
                <w:sz w:val="24"/>
                <w:szCs w:val="24"/>
              </w:rPr>
              <w:t>审核人员</w:t>
            </w:r>
          </w:p>
        </w:tc>
        <w:tc>
          <w:tcPr>
            <w:tcW w:w="1231" w:type="dxa"/>
            <w:vAlign w:val="top"/>
          </w:tcPr>
          <w:p>
            <w:pPr>
              <w:keepNext w:val="0"/>
              <w:keepLines w:val="0"/>
              <w:suppressLineNumbers w:val="0"/>
              <w:adjustRightInd w:val="0"/>
              <w:snapToGrid w:val="0"/>
              <w:spacing w:before="0" w:beforeAutospacing="0" w:after="0" w:afterAutospacing="0"/>
              <w:ind w:left="0" w:right="0"/>
              <w:rPr>
                <w:rFonts w:hint="default"/>
                <w:sz w:val="24"/>
                <w:szCs w:val="24"/>
              </w:rPr>
            </w:pPr>
          </w:p>
        </w:tc>
        <w:tc>
          <w:tcPr>
            <w:tcW w:w="848" w:type="dxa"/>
            <w:vAlign w:val="top"/>
          </w:tcPr>
          <w:p>
            <w:pPr>
              <w:keepNext w:val="0"/>
              <w:keepLines w:val="0"/>
              <w:suppressLineNumbers w:val="0"/>
              <w:adjustRightInd w:val="0"/>
              <w:snapToGrid w:val="0"/>
              <w:spacing w:before="0" w:beforeAutospacing="0" w:after="0" w:afterAutospacing="0"/>
              <w:ind w:left="0" w:right="0"/>
              <w:rPr>
                <w:rFonts w:hint="default"/>
                <w:sz w:val="24"/>
                <w:szCs w:val="24"/>
              </w:rPr>
            </w:pPr>
            <w:r>
              <w:rPr>
                <w:rFonts w:hint="eastAsia" w:cs="宋体"/>
                <w:sz w:val="24"/>
                <w:szCs w:val="24"/>
              </w:rPr>
              <w:t>日期</w:t>
            </w:r>
          </w:p>
        </w:tc>
        <w:tc>
          <w:tcPr>
            <w:tcW w:w="1547" w:type="dxa"/>
            <w:gridSpan w:val="2"/>
            <w:vAlign w:val="top"/>
          </w:tcPr>
          <w:p>
            <w:pPr>
              <w:keepNext w:val="0"/>
              <w:keepLines w:val="0"/>
              <w:suppressLineNumbers w:val="0"/>
              <w:adjustRightInd w:val="0"/>
              <w:snapToGrid w:val="0"/>
              <w:spacing w:before="0" w:beforeAutospacing="0" w:after="0" w:afterAutospacing="0"/>
              <w:ind w:left="0" w:right="0"/>
              <w:rPr>
                <w:rFonts w:hint="default"/>
                <w:sz w:val="24"/>
                <w:szCs w:val="24"/>
              </w:rPr>
            </w:pPr>
          </w:p>
        </w:tc>
        <w:tc>
          <w:tcPr>
            <w:tcW w:w="3675" w:type="dxa"/>
            <w:gridSpan w:val="3"/>
            <w:vMerge w:val="continue"/>
            <w:vAlign w:val="top"/>
          </w:tcPr>
          <w:p>
            <w:pPr>
              <w:keepNext w:val="0"/>
              <w:keepLines w:val="0"/>
              <w:suppressLineNumbers w:val="0"/>
              <w:adjustRightInd w:val="0"/>
              <w:snapToGrid w:val="0"/>
              <w:spacing w:before="0" w:beforeAutospacing="0" w:after="0" w:afterAutospacing="0"/>
              <w:ind w:left="0" w:right="0"/>
              <w:rPr>
                <w:rFonts w:hint="default"/>
                <w:sz w:val="24"/>
                <w:szCs w:val="24"/>
              </w:rPr>
            </w:pPr>
          </w:p>
        </w:tc>
      </w:tr>
    </w:tbl>
    <w:p/>
    <w:sectPr>
      <w:pgSz w:w="11850" w:h="16783"/>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Aharoni">
    <w:altName w:val="Bebas Neue"/>
    <w:panose1 w:val="02010803020104030203"/>
    <w:charset w:val="B1"/>
    <w:family w:val="auto"/>
    <w:pitch w:val="default"/>
    <w:sig w:usb0="00000000" w:usb1="00000000" w:usb2="00000000" w:usb3="00000000" w:csb0="00000020" w:csb1="00200000"/>
  </w:font>
  <w:font w:name="文泉驿微米黑">
    <w:altName w:val="黑体"/>
    <w:panose1 w:val="020B0606030804020204"/>
    <w:charset w:val="86"/>
    <w:family w:val="auto"/>
    <w:pitch w:val="default"/>
    <w:sig w:usb0="00000000" w:usb1="00000000" w:usb2="00800036" w:usb3="00000000" w:csb0="603E019F" w:csb1="DFD70000"/>
  </w:font>
  <w:font w:name="BabelStone Han">
    <w:altName w:val="宋体"/>
    <w:panose1 w:val="02020604010101010101"/>
    <w:charset w:val="86"/>
    <w:family w:val="auto"/>
    <w:pitch w:val="default"/>
    <w:sig w:usb0="00000000" w:usb1="00000000" w:usb2="18060076" w:usb3="0400A008" w:csb0="6016011D" w:csb1="D3F7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 w:name="Bebas Neue">
    <w:panose1 w:val="020B0000000000000000"/>
    <w:charset w:val="00"/>
    <w:family w:val="auto"/>
    <w:pitch w:val="default"/>
    <w:sig w:usb0="A000002F" w:usb1="0000004B" w:usb2="00000000" w:usb3="00000000" w:csb0="00000093" w:csb1="00000000"/>
  </w:font>
  <w:font w:name="Vrinda">
    <w:altName w:val="Segoe UI Symbol"/>
    <w:panose1 w:val="020B0502040204020203"/>
    <w:charset w:val="00"/>
    <w:family w:val="auto"/>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HTJ-PK748200009a2-Identity-H">
    <w:altName w:val="宋体"/>
    <w:panose1 w:val="00000000000000000000"/>
    <w:charset w:val="86"/>
    <w:family w:val="auto"/>
    <w:pitch w:val="default"/>
    <w:sig w:usb0="00000000" w:usb1="00000000" w:usb2="00000000" w:usb3="00000000" w:csb0="00040000" w:csb1="00000000"/>
  </w:font>
  <w:font w:name="E-HZ9-PK7483a5-Identity-H">
    <w:altName w:val="宋体"/>
    <w:panose1 w:val="00000000000000000000"/>
    <w:charset w:val="86"/>
    <w:family w:val="auto"/>
    <w:pitch w:val="default"/>
    <w:sig w:usb0="00000000" w:usb1="00000000" w:usb2="00000000" w:usb3="00000000" w:csb0="00040000" w:csb1="00000000"/>
  </w:font>
  <w:font w:name="H-HT9-PK748200009a5-Identity-H">
    <w:altName w:val="宋体"/>
    <w:panose1 w:val="00000000000000000000"/>
    <w:charset w:val="86"/>
    <w:family w:val="auto"/>
    <w:pitch w:val="default"/>
    <w:sig w:usb0="00000000" w:usb1="00000000" w:usb2="00000000" w:usb3="00000000" w:csb0="00040000" w:csb1="00000000"/>
  </w:font>
  <w:font w:name="E-FZ9-PK74836f-Identity-H">
    <w:altName w:val="宋体"/>
    <w:panose1 w:val="00000000000000000000"/>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Samsung SVD_Medium_JP">
    <w:panose1 w:val="02000503000000020003"/>
    <w:charset w:val="00"/>
    <w:family w:val="auto"/>
    <w:pitch w:val="default"/>
    <w:sig w:usb0="A1002AEF" w:usb1="D001F87A" w:usb2="00000008" w:usb3="00000000" w:csb0="000001FF" w:csb1="00000000"/>
  </w:font>
  <w:font w:name="ksdb">
    <w:altName w:val="Sitka Text"/>
    <w:panose1 w:val="02000500000000000000"/>
    <w:charset w:val="00"/>
    <w:family w:val="auto"/>
    <w:pitch w:val="default"/>
    <w:sig w:usb0="00000000" w:usb1="00000000" w:usb2="00000000" w:usb3="00000000" w:csb0="00000001" w:csb1="00000000"/>
  </w:font>
  <w:font w:name="@宋体">
    <w:panose1 w:val="02010600030101010101"/>
    <w:charset w:val="86"/>
    <w:family w:val="auto"/>
    <w:pitch w:val="default"/>
    <w:sig w:usb0="00000203" w:usb1="288F0000" w:usb2="00000006" w:usb3="00000000" w:csb0="00040001" w:csb1="00000000"/>
  </w:font>
  <w:font w:name="方正粗黑宋简体">
    <w:panose1 w:val="02000000000000000000"/>
    <w:charset w:val="86"/>
    <w:family w:val="auto"/>
    <w:pitch w:val="default"/>
    <w:sig w:usb0="A00002BF" w:usb1="184F6CFA" w:usb2="00000012" w:usb3="00000000" w:csb0="00040001" w:csb1="00000000"/>
  </w:font>
  <w:font w:name="Malgun Gothic Semilight">
    <w:panose1 w:val="020B0502040204020203"/>
    <w:charset w:val="86"/>
    <w:family w:val="swiss"/>
    <w:pitch w:val="default"/>
    <w:sig w:usb0="900002AF" w:usb1="01D77CFB" w:usb2="00000012" w:usb3="00000000" w:csb0="203E01BD" w:csb1="D7FF0000"/>
  </w:font>
  <w:font w:name="@仿宋_GB2312">
    <w:altName w:val="仿宋"/>
    <w:panose1 w:val="02010609030101010101"/>
    <w:charset w:val="86"/>
    <w:family w:val="auto"/>
    <w:pitch w:val="default"/>
    <w:sig w:usb0="00000000" w:usb1="00000000" w:usb2="00000000" w:usb3="00000000" w:csb0="00040000" w:csb1="00000000"/>
  </w:font>
  <w:font w:name="Cambria Math">
    <w:panose1 w:val="02040503050406030204"/>
    <w:charset w:val="01"/>
    <w:family w:val="auto"/>
    <w:pitch w:val="default"/>
    <w:sig w:usb0="E00006FF" w:usb1="420024FF" w:usb2="02000000" w:usb3="00000000" w:csb0="2000019F" w:csb1="00000000"/>
  </w:font>
  <w:font w:name="DFKai-SB">
    <w:altName w:val="Microsoft JhengHei Light"/>
    <w:panose1 w:val="03000509000000000000"/>
    <w:charset w:val="88"/>
    <w:family w:val="auto"/>
    <w:pitch w:val="default"/>
    <w:sig w:usb0="00000000" w:usb1="00000000" w:usb2="00000016" w:usb3="00000000" w:csb0="00100001" w:csb1="00000000"/>
  </w:font>
  <w:font w:name="方正楷体简体">
    <w:altName w:val="宋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汉仪超粗宋简">
    <w:altName w:val="宋体"/>
    <w:panose1 w:val="02010609000101010101"/>
    <w:charset w:val="86"/>
    <w:family w:val="auto"/>
    <w:pitch w:val="default"/>
    <w:sig w:usb0="00000000" w:usb1="00000000" w:usb2="00000002" w:usb3="00000000" w:csb0="00040000" w:csb1="00000000"/>
  </w:font>
  <w:font w:name="汉仪魏碑简">
    <w:altName w:val="宋体"/>
    <w:panose1 w:val="02010609000101010101"/>
    <w:charset w:val="86"/>
    <w:family w:val="auto"/>
    <w:pitch w:val="default"/>
    <w:sig w:usb0="00000000" w:usb1="00000000" w:usb2="00000002" w:usb3="00000000" w:csb0="00040000" w:csb1="00000000"/>
  </w:font>
  <w:font w:name="方正书宋简体">
    <w:altName w:val="微软雅黑"/>
    <w:panose1 w:val="00000000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微软雅黑"/>
    <w:panose1 w:val="02010601030101010101"/>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创艺简标宋">
    <w:altName w:val="黑体"/>
    <w:panose1 w:val="00000000000000000000"/>
    <w:charset w:val="86"/>
    <w:family w:val="auto"/>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Letter Gothic">
    <w:altName w:val="Courier New"/>
    <w:panose1 w:val="00000000000000000000"/>
    <w:charset w:val="00"/>
    <w:family w:val="modern"/>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Sitka Text">
    <w:panose1 w:val="02000505000000020004"/>
    <w:charset w:val="00"/>
    <w:family w:val="auto"/>
    <w:pitch w:val="default"/>
    <w:sig w:usb0="A00002EF" w:usb1="4000204B" w:usb2="00000000" w:usb3="00000000" w:csb0="2000019F"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spacing w:after="0"/>
    </w:pPr>
    <w:r>
      <w:fldChar w:fldCharType="begin"/>
    </w:r>
    <w:r>
      <w:instrText xml:space="preserve"> STYLEREF  标准文件_文件编号  \* MERGEFORMAT </w:instrText>
    </w:r>
    <w:r>
      <w:fldChar w:fldCharType="separate"/>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tentative="0">
      <w:start w:val="1"/>
      <w:numFmt w:val="decimal"/>
      <w:pStyle w:val="236"/>
      <w:suff w:val="nothing"/>
      <w:lvlText w:val="%1　"/>
      <w:lvlJc w:val="left"/>
      <w:pPr>
        <w:ind w:left="420" w:firstLine="0"/>
      </w:pPr>
      <w:rPr>
        <w:rFonts w:hint="eastAsia" w:ascii="黑体" w:hAnsi="Times New Roman" w:eastAsia="黑体"/>
        <w:b w:val="0"/>
        <w:i w:val="0"/>
        <w:sz w:val="21"/>
        <w:szCs w:val="21"/>
      </w:rPr>
    </w:lvl>
    <w:lvl w:ilvl="1" w:tentative="0">
      <w:start w:val="1"/>
      <w:numFmt w:val="decimal"/>
      <w:suff w:val="nothing"/>
      <w:lvlText w:val="%1.%2　"/>
      <w:lvlJc w:val="left"/>
      <w:pPr>
        <w:ind w:left="105"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2ZTE5MjQ3YmRiMzc5NmFlZGJkM2ZmMjc2M2FiZTYifQ=="/>
  </w:docVars>
  <w:rsids>
    <w:rsidRoot w:val="00172A27"/>
    <w:rsid w:val="0000040A"/>
    <w:rsid w:val="00000A94"/>
    <w:rsid w:val="00001972"/>
    <w:rsid w:val="00001D9A"/>
    <w:rsid w:val="00007B3A"/>
    <w:rsid w:val="000107E0"/>
    <w:rsid w:val="00011FDE"/>
    <w:rsid w:val="000127BC"/>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5F3C"/>
    <w:rsid w:val="000361BB"/>
    <w:rsid w:val="000374F5"/>
    <w:rsid w:val="0004249A"/>
    <w:rsid w:val="00043282"/>
    <w:rsid w:val="00044266"/>
    <w:rsid w:val="00044286"/>
    <w:rsid w:val="00047E6B"/>
    <w:rsid w:val="00047F28"/>
    <w:rsid w:val="000503AA"/>
    <w:rsid w:val="000506A1"/>
    <w:rsid w:val="000515DD"/>
    <w:rsid w:val="00051A65"/>
    <w:rsid w:val="0005265A"/>
    <w:rsid w:val="000539DD"/>
    <w:rsid w:val="00053BD3"/>
    <w:rsid w:val="000556ED"/>
    <w:rsid w:val="00055FE2"/>
    <w:rsid w:val="0005616F"/>
    <w:rsid w:val="00060C2E"/>
    <w:rsid w:val="00061033"/>
    <w:rsid w:val="000619E9"/>
    <w:rsid w:val="000622D4"/>
    <w:rsid w:val="0006357D"/>
    <w:rsid w:val="00067E0D"/>
    <w:rsid w:val="00067F1E"/>
    <w:rsid w:val="00071CC0"/>
    <w:rsid w:val="00073C8C"/>
    <w:rsid w:val="0007554B"/>
    <w:rsid w:val="0007774E"/>
    <w:rsid w:val="00077B64"/>
    <w:rsid w:val="00080A1C"/>
    <w:rsid w:val="00082317"/>
    <w:rsid w:val="00083D2C"/>
    <w:rsid w:val="00084074"/>
    <w:rsid w:val="00086AA1"/>
    <w:rsid w:val="00087A77"/>
    <w:rsid w:val="00090CA6"/>
    <w:rsid w:val="00092537"/>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2555"/>
    <w:rsid w:val="000B3CDA"/>
    <w:rsid w:val="000B6A0B"/>
    <w:rsid w:val="000C0F6C"/>
    <w:rsid w:val="000C11DB"/>
    <w:rsid w:val="000C2FBD"/>
    <w:rsid w:val="000C3E10"/>
    <w:rsid w:val="000C4B41"/>
    <w:rsid w:val="000C4C8A"/>
    <w:rsid w:val="000C57D6"/>
    <w:rsid w:val="000C7666"/>
    <w:rsid w:val="000D0A9C"/>
    <w:rsid w:val="000D1795"/>
    <w:rsid w:val="000D329A"/>
    <w:rsid w:val="000D3971"/>
    <w:rsid w:val="000D39B2"/>
    <w:rsid w:val="000D4B9C"/>
    <w:rsid w:val="000D4EB6"/>
    <w:rsid w:val="000D753B"/>
    <w:rsid w:val="000E4C9E"/>
    <w:rsid w:val="000E6FD7"/>
    <w:rsid w:val="000E7D02"/>
    <w:rsid w:val="000F06E1"/>
    <w:rsid w:val="000F0E3C"/>
    <w:rsid w:val="000F19D5"/>
    <w:rsid w:val="000F2E41"/>
    <w:rsid w:val="000F3776"/>
    <w:rsid w:val="000F4AEA"/>
    <w:rsid w:val="000F575B"/>
    <w:rsid w:val="000F6501"/>
    <w:rsid w:val="000F67E9"/>
    <w:rsid w:val="000F6BFE"/>
    <w:rsid w:val="001002E2"/>
    <w:rsid w:val="001016A7"/>
    <w:rsid w:val="00104926"/>
    <w:rsid w:val="0011317C"/>
    <w:rsid w:val="00113B1E"/>
    <w:rsid w:val="0011711C"/>
    <w:rsid w:val="00124E4F"/>
    <w:rsid w:val="001260B7"/>
    <w:rsid w:val="001265CB"/>
    <w:rsid w:val="001303FF"/>
    <w:rsid w:val="001321C6"/>
    <w:rsid w:val="0013220D"/>
    <w:rsid w:val="001325C4"/>
    <w:rsid w:val="00133010"/>
    <w:rsid w:val="001337A1"/>
    <w:rsid w:val="001338EE"/>
    <w:rsid w:val="00133AAE"/>
    <w:rsid w:val="00135323"/>
    <w:rsid w:val="001356C4"/>
    <w:rsid w:val="00141114"/>
    <w:rsid w:val="00142969"/>
    <w:rsid w:val="00144008"/>
    <w:rsid w:val="001457E7"/>
    <w:rsid w:val="00145D9D"/>
    <w:rsid w:val="00146388"/>
    <w:rsid w:val="001529E5"/>
    <w:rsid w:val="00153C7E"/>
    <w:rsid w:val="00156B25"/>
    <w:rsid w:val="00156E1A"/>
    <w:rsid w:val="00157B55"/>
    <w:rsid w:val="001642FA"/>
    <w:rsid w:val="001649EB"/>
    <w:rsid w:val="00164BAF"/>
    <w:rsid w:val="00164FA8"/>
    <w:rsid w:val="00165065"/>
    <w:rsid w:val="00165316"/>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8A1"/>
    <w:rsid w:val="0020107D"/>
    <w:rsid w:val="00202AA4"/>
    <w:rsid w:val="002031F7"/>
    <w:rsid w:val="002040E6"/>
    <w:rsid w:val="0020527B"/>
    <w:rsid w:val="00210B15"/>
    <w:rsid w:val="002142EA"/>
    <w:rsid w:val="002177F8"/>
    <w:rsid w:val="002204BB"/>
    <w:rsid w:val="00221B79"/>
    <w:rsid w:val="00221C6B"/>
    <w:rsid w:val="00223E30"/>
    <w:rsid w:val="002253A1"/>
    <w:rsid w:val="00225CF8"/>
    <w:rsid w:val="0022794E"/>
    <w:rsid w:val="00233D64"/>
    <w:rsid w:val="0023482A"/>
    <w:rsid w:val="00234A9A"/>
    <w:rsid w:val="002359CB"/>
    <w:rsid w:val="00243540"/>
    <w:rsid w:val="0024497B"/>
    <w:rsid w:val="0024515B"/>
    <w:rsid w:val="00246021"/>
    <w:rsid w:val="0024666E"/>
    <w:rsid w:val="00247F52"/>
    <w:rsid w:val="00250B25"/>
    <w:rsid w:val="00250BBE"/>
    <w:rsid w:val="0025194F"/>
    <w:rsid w:val="00251D86"/>
    <w:rsid w:val="0026148A"/>
    <w:rsid w:val="00262696"/>
    <w:rsid w:val="00263D38"/>
    <w:rsid w:val="002643C3"/>
    <w:rsid w:val="00264A0C"/>
    <w:rsid w:val="00267EF4"/>
    <w:rsid w:val="002703A5"/>
    <w:rsid w:val="00270CB8"/>
    <w:rsid w:val="00272B08"/>
    <w:rsid w:val="00281BB8"/>
    <w:rsid w:val="00281E9E"/>
    <w:rsid w:val="00282871"/>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2674"/>
    <w:rsid w:val="002B4508"/>
    <w:rsid w:val="002B5779"/>
    <w:rsid w:val="002B7332"/>
    <w:rsid w:val="002B7F51"/>
    <w:rsid w:val="002C09E7"/>
    <w:rsid w:val="002C1B28"/>
    <w:rsid w:val="002C3F07"/>
    <w:rsid w:val="002C4A54"/>
    <w:rsid w:val="002C5278"/>
    <w:rsid w:val="002C564D"/>
    <w:rsid w:val="002C7EBB"/>
    <w:rsid w:val="002D06C1"/>
    <w:rsid w:val="002D2F25"/>
    <w:rsid w:val="002D42B5"/>
    <w:rsid w:val="002D4F1A"/>
    <w:rsid w:val="002D6EC6"/>
    <w:rsid w:val="002D79AC"/>
    <w:rsid w:val="002E039D"/>
    <w:rsid w:val="002E37BC"/>
    <w:rsid w:val="002E4D5A"/>
    <w:rsid w:val="002E6326"/>
    <w:rsid w:val="002E7238"/>
    <w:rsid w:val="002F30E0"/>
    <w:rsid w:val="002F35E4"/>
    <w:rsid w:val="002F3730"/>
    <w:rsid w:val="002F38E1"/>
    <w:rsid w:val="002F69A8"/>
    <w:rsid w:val="002F7AF6"/>
    <w:rsid w:val="00300E63"/>
    <w:rsid w:val="00302F5F"/>
    <w:rsid w:val="0030441D"/>
    <w:rsid w:val="00305E50"/>
    <w:rsid w:val="00306063"/>
    <w:rsid w:val="00313B85"/>
    <w:rsid w:val="00314BDF"/>
    <w:rsid w:val="00317988"/>
    <w:rsid w:val="003221B4"/>
    <w:rsid w:val="00322E62"/>
    <w:rsid w:val="00324EDD"/>
    <w:rsid w:val="00335D81"/>
    <w:rsid w:val="00336C64"/>
    <w:rsid w:val="00337162"/>
    <w:rsid w:val="0034194F"/>
    <w:rsid w:val="00344605"/>
    <w:rsid w:val="003474AA"/>
    <w:rsid w:val="00350D1D"/>
    <w:rsid w:val="003513DF"/>
    <w:rsid w:val="00352C83"/>
    <w:rsid w:val="00357D76"/>
    <w:rsid w:val="0036067D"/>
    <w:rsid w:val="00360F79"/>
    <w:rsid w:val="003615D2"/>
    <w:rsid w:val="0036429C"/>
    <w:rsid w:val="00364A53"/>
    <w:rsid w:val="003654CB"/>
    <w:rsid w:val="00365876"/>
    <w:rsid w:val="00365F86"/>
    <w:rsid w:val="00365F87"/>
    <w:rsid w:val="003705F4"/>
    <w:rsid w:val="00370D58"/>
    <w:rsid w:val="00371316"/>
    <w:rsid w:val="00376713"/>
    <w:rsid w:val="00380045"/>
    <w:rsid w:val="0038103E"/>
    <w:rsid w:val="00381815"/>
    <w:rsid w:val="003819AF"/>
    <w:rsid w:val="003820E9"/>
    <w:rsid w:val="00382DE7"/>
    <w:rsid w:val="0038330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2D8D"/>
    <w:rsid w:val="003B5BF0"/>
    <w:rsid w:val="003B60BF"/>
    <w:rsid w:val="003B6BE3"/>
    <w:rsid w:val="003C010C"/>
    <w:rsid w:val="003C0A6C"/>
    <w:rsid w:val="003C22E9"/>
    <w:rsid w:val="003C5A43"/>
    <w:rsid w:val="003D0519"/>
    <w:rsid w:val="003D0FF6"/>
    <w:rsid w:val="003D262C"/>
    <w:rsid w:val="003D3A5A"/>
    <w:rsid w:val="003D6D61"/>
    <w:rsid w:val="003E091D"/>
    <w:rsid w:val="003E1772"/>
    <w:rsid w:val="003E1C53"/>
    <w:rsid w:val="003E2A69"/>
    <w:rsid w:val="003E2D49"/>
    <w:rsid w:val="003E2FD4"/>
    <w:rsid w:val="003E373B"/>
    <w:rsid w:val="003E49F6"/>
    <w:rsid w:val="003F0841"/>
    <w:rsid w:val="003F148F"/>
    <w:rsid w:val="003F23D3"/>
    <w:rsid w:val="003F3F08"/>
    <w:rsid w:val="003F43B3"/>
    <w:rsid w:val="003F49F1"/>
    <w:rsid w:val="003F6272"/>
    <w:rsid w:val="00400E72"/>
    <w:rsid w:val="00401400"/>
    <w:rsid w:val="00404869"/>
    <w:rsid w:val="00405884"/>
    <w:rsid w:val="00407D39"/>
    <w:rsid w:val="0041477A"/>
    <w:rsid w:val="004167A3"/>
    <w:rsid w:val="00423954"/>
    <w:rsid w:val="00425F6C"/>
    <w:rsid w:val="00432DAA"/>
    <w:rsid w:val="00434305"/>
    <w:rsid w:val="004347D3"/>
    <w:rsid w:val="00435DF7"/>
    <w:rsid w:val="0044083F"/>
    <w:rsid w:val="00441AE7"/>
    <w:rsid w:val="00445574"/>
    <w:rsid w:val="004467FB"/>
    <w:rsid w:val="0045181E"/>
    <w:rsid w:val="00452D6B"/>
    <w:rsid w:val="00454484"/>
    <w:rsid w:val="0045517B"/>
    <w:rsid w:val="00462060"/>
    <w:rsid w:val="004631B1"/>
    <w:rsid w:val="00463B77"/>
    <w:rsid w:val="00463C7B"/>
    <w:rsid w:val="004644A6"/>
    <w:rsid w:val="004659BD"/>
    <w:rsid w:val="00470775"/>
    <w:rsid w:val="004746B1"/>
    <w:rsid w:val="00475445"/>
    <w:rsid w:val="0047583F"/>
    <w:rsid w:val="00477B1C"/>
    <w:rsid w:val="00484936"/>
    <w:rsid w:val="00485C89"/>
    <w:rsid w:val="00486BE3"/>
    <w:rsid w:val="004905E4"/>
    <w:rsid w:val="00490A89"/>
    <w:rsid w:val="00490AB4"/>
    <w:rsid w:val="00492F02"/>
    <w:rsid w:val="004939AE"/>
    <w:rsid w:val="0049592B"/>
    <w:rsid w:val="004A12DF"/>
    <w:rsid w:val="004A1BA8"/>
    <w:rsid w:val="004A3D3C"/>
    <w:rsid w:val="004A4B57"/>
    <w:rsid w:val="004A63FA"/>
    <w:rsid w:val="004B2701"/>
    <w:rsid w:val="004B2E1B"/>
    <w:rsid w:val="004B3E93"/>
    <w:rsid w:val="004C1FBC"/>
    <w:rsid w:val="004C3F1D"/>
    <w:rsid w:val="004C458D"/>
    <w:rsid w:val="004C5DF0"/>
    <w:rsid w:val="004C5FF4"/>
    <w:rsid w:val="004C7556"/>
    <w:rsid w:val="004C7E9D"/>
    <w:rsid w:val="004C7F67"/>
    <w:rsid w:val="004D076D"/>
    <w:rsid w:val="004D0EF1"/>
    <w:rsid w:val="004D111F"/>
    <w:rsid w:val="004D2253"/>
    <w:rsid w:val="004D4406"/>
    <w:rsid w:val="004D7C42"/>
    <w:rsid w:val="004D7CC4"/>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BE7"/>
    <w:rsid w:val="005073F0"/>
    <w:rsid w:val="00510A7B"/>
    <w:rsid w:val="00512F6E"/>
    <w:rsid w:val="00513038"/>
    <w:rsid w:val="00514174"/>
    <w:rsid w:val="00514DF9"/>
    <w:rsid w:val="00516088"/>
    <w:rsid w:val="00516B0B"/>
    <w:rsid w:val="005220EC"/>
    <w:rsid w:val="00522C32"/>
    <w:rsid w:val="00523F95"/>
    <w:rsid w:val="00524D65"/>
    <w:rsid w:val="00525B16"/>
    <w:rsid w:val="005329E2"/>
    <w:rsid w:val="00533D04"/>
    <w:rsid w:val="00534804"/>
    <w:rsid w:val="00534BDF"/>
    <w:rsid w:val="005354EA"/>
    <w:rsid w:val="00535EC4"/>
    <w:rsid w:val="00535ED9"/>
    <w:rsid w:val="0053692B"/>
    <w:rsid w:val="00541853"/>
    <w:rsid w:val="00543BDA"/>
    <w:rsid w:val="005441CC"/>
    <w:rsid w:val="0054687F"/>
    <w:rsid w:val="005479DA"/>
    <w:rsid w:val="00547BCC"/>
    <w:rsid w:val="0055013B"/>
    <w:rsid w:val="00551F6F"/>
    <w:rsid w:val="00552BFE"/>
    <w:rsid w:val="00555044"/>
    <w:rsid w:val="00561475"/>
    <w:rsid w:val="0056353E"/>
    <w:rsid w:val="0056487B"/>
    <w:rsid w:val="00564FB9"/>
    <w:rsid w:val="00570F88"/>
    <w:rsid w:val="00573ADD"/>
    <w:rsid w:val="00573D9E"/>
    <w:rsid w:val="005801E3"/>
    <w:rsid w:val="00581802"/>
    <w:rsid w:val="005836A8"/>
    <w:rsid w:val="00584262"/>
    <w:rsid w:val="00586630"/>
    <w:rsid w:val="00587ADD"/>
    <w:rsid w:val="00593494"/>
    <w:rsid w:val="00596160"/>
    <w:rsid w:val="005966E2"/>
    <w:rsid w:val="00597007"/>
    <w:rsid w:val="005A0966"/>
    <w:rsid w:val="005A11B7"/>
    <w:rsid w:val="005A154F"/>
    <w:rsid w:val="005A260B"/>
    <w:rsid w:val="005A4A1B"/>
    <w:rsid w:val="005A5F98"/>
    <w:rsid w:val="005A7830"/>
    <w:rsid w:val="005A7FCE"/>
    <w:rsid w:val="005B029C"/>
    <w:rsid w:val="005B0F3F"/>
    <w:rsid w:val="005B1C4F"/>
    <w:rsid w:val="005B4903"/>
    <w:rsid w:val="005B51CE"/>
    <w:rsid w:val="005B5885"/>
    <w:rsid w:val="005B5CD7"/>
    <w:rsid w:val="005B6CF6"/>
    <w:rsid w:val="005B7422"/>
    <w:rsid w:val="005C29B8"/>
    <w:rsid w:val="005C3F2F"/>
    <w:rsid w:val="005C5F21"/>
    <w:rsid w:val="005C7156"/>
    <w:rsid w:val="005D0524"/>
    <w:rsid w:val="005D0C75"/>
    <w:rsid w:val="005D2AB7"/>
    <w:rsid w:val="005D2EE6"/>
    <w:rsid w:val="005D3661"/>
    <w:rsid w:val="005D37D4"/>
    <w:rsid w:val="005D4171"/>
    <w:rsid w:val="005D534A"/>
    <w:rsid w:val="005D6A95"/>
    <w:rsid w:val="005D6B2C"/>
    <w:rsid w:val="005D6D9C"/>
    <w:rsid w:val="005D78B8"/>
    <w:rsid w:val="005E2335"/>
    <w:rsid w:val="005E34CA"/>
    <w:rsid w:val="005E3C18"/>
    <w:rsid w:val="005E7881"/>
    <w:rsid w:val="005E78E0"/>
    <w:rsid w:val="005F0D9C"/>
    <w:rsid w:val="005F284E"/>
    <w:rsid w:val="006002B2"/>
    <w:rsid w:val="006015CE"/>
    <w:rsid w:val="00604784"/>
    <w:rsid w:val="00606419"/>
    <w:rsid w:val="00607D29"/>
    <w:rsid w:val="006113B8"/>
    <w:rsid w:val="00612952"/>
    <w:rsid w:val="00614CC1"/>
    <w:rsid w:val="00615A9D"/>
    <w:rsid w:val="006162BE"/>
    <w:rsid w:val="00616BBB"/>
    <w:rsid w:val="00617387"/>
    <w:rsid w:val="006252D8"/>
    <w:rsid w:val="006259BC"/>
    <w:rsid w:val="00625D2B"/>
    <w:rsid w:val="0062636B"/>
    <w:rsid w:val="00626922"/>
    <w:rsid w:val="00632182"/>
    <w:rsid w:val="00632AE0"/>
    <w:rsid w:val="0063360E"/>
    <w:rsid w:val="00633C17"/>
    <w:rsid w:val="00636E3E"/>
    <w:rsid w:val="006372E3"/>
    <w:rsid w:val="006379F7"/>
    <w:rsid w:val="00637E4D"/>
    <w:rsid w:val="00640620"/>
    <w:rsid w:val="00641A1F"/>
    <w:rsid w:val="00645904"/>
    <w:rsid w:val="00651ACB"/>
    <w:rsid w:val="00651C47"/>
    <w:rsid w:val="00652AB2"/>
    <w:rsid w:val="00654EC0"/>
    <w:rsid w:val="00654EFE"/>
    <w:rsid w:val="0065525B"/>
    <w:rsid w:val="00655990"/>
    <w:rsid w:val="00655D4F"/>
    <w:rsid w:val="006575EE"/>
    <w:rsid w:val="006640E5"/>
    <w:rsid w:val="006646F1"/>
    <w:rsid w:val="00664929"/>
    <w:rsid w:val="00664F62"/>
    <w:rsid w:val="006655E1"/>
    <w:rsid w:val="00671DE7"/>
    <w:rsid w:val="00672060"/>
    <w:rsid w:val="00672BFD"/>
    <w:rsid w:val="006770F4"/>
    <w:rsid w:val="00677A84"/>
    <w:rsid w:val="0068026D"/>
    <w:rsid w:val="00680A27"/>
    <w:rsid w:val="006816A4"/>
    <w:rsid w:val="006819B8"/>
    <w:rsid w:val="00681BCB"/>
    <w:rsid w:val="006828D9"/>
    <w:rsid w:val="006840A6"/>
    <w:rsid w:val="006850CD"/>
    <w:rsid w:val="00685AAB"/>
    <w:rsid w:val="00690885"/>
    <w:rsid w:val="006A07AA"/>
    <w:rsid w:val="006A1DF6"/>
    <w:rsid w:val="006A25E5"/>
    <w:rsid w:val="006A2B46"/>
    <w:rsid w:val="006A336D"/>
    <w:rsid w:val="006A37B9"/>
    <w:rsid w:val="006A5ECC"/>
    <w:rsid w:val="006B2672"/>
    <w:rsid w:val="006B54BF"/>
    <w:rsid w:val="006B5F44"/>
    <w:rsid w:val="006B5F90"/>
    <w:rsid w:val="006B62E4"/>
    <w:rsid w:val="006B6788"/>
    <w:rsid w:val="006C1BBA"/>
    <w:rsid w:val="006C2079"/>
    <w:rsid w:val="006C5A62"/>
    <w:rsid w:val="006C5D68"/>
    <w:rsid w:val="006C6976"/>
    <w:rsid w:val="006C6DD0"/>
    <w:rsid w:val="006D04EA"/>
    <w:rsid w:val="006D16C4"/>
    <w:rsid w:val="006D3E96"/>
    <w:rsid w:val="006D4515"/>
    <w:rsid w:val="006D4BB1"/>
    <w:rsid w:val="006D6593"/>
    <w:rsid w:val="006E49A2"/>
    <w:rsid w:val="006F03A8"/>
    <w:rsid w:val="006F1A2F"/>
    <w:rsid w:val="006F295B"/>
    <w:rsid w:val="006F2ACA"/>
    <w:rsid w:val="006F2ADC"/>
    <w:rsid w:val="006F2BFE"/>
    <w:rsid w:val="006F31E9"/>
    <w:rsid w:val="006F55BA"/>
    <w:rsid w:val="006F6284"/>
    <w:rsid w:val="007002C5"/>
    <w:rsid w:val="00704387"/>
    <w:rsid w:val="00707669"/>
    <w:rsid w:val="00711CBA"/>
    <w:rsid w:val="00711FB5"/>
    <w:rsid w:val="00712A01"/>
    <w:rsid w:val="00714F58"/>
    <w:rsid w:val="00722F83"/>
    <w:rsid w:val="00722FBF"/>
    <w:rsid w:val="00722FC2"/>
    <w:rsid w:val="00725949"/>
    <w:rsid w:val="00726388"/>
    <w:rsid w:val="00727FA2"/>
    <w:rsid w:val="007322D9"/>
    <w:rsid w:val="00732AA2"/>
    <w:rsid w:val="00732BC0"/>
    <w:rsid w:val="0073720F"/>
    <w:rsid w:val="00737796"/>
    <w:rsid w:val="0074165C"/>
    <w:rsid w:val="007432CA"/>
    <w:rsid w:val="007439EB"/>
    <w:rsid w:val="00743CB4"/>
    <w:rsid w:val="00743F0A"/>
    <w:rsid w:val="007444E8"/>
    <w:rsid w:val="0074548E"/>
    <w:rsid w:val="00745773"/>
    <w:rsid w:val="007460A6"/>
    <w:rsid w:val="00746800"/>
    <w:rsid w:val="007501A8"/>
    <w:rsid w:val="00750EE1"/>
    <w:rsid w:val="00750F74"/>
    <w:rsid w:val="00752B4D"/>
    <w:rsid w:val="00755402"/>
    <w:rsid w:val="00756B26"/>
    <w:rsid w:val="00756EDF"/>
    <w:rsid w:val="007609A2"/>
    <w:rsid w:val="00765C43"/>
    <w:rsid w:val="00765EFB"/>
    <w:rsid w:val="007671CA"/>
    <w:rsid w:val="00767C61"/>
    <w:rsid w:val="0077008A"/>
    <w:rsid w:val="00773C1F"/>
    <w:rsid w:val="0077482E"/>
    <w:rsid w:val="00774DA4"/>
    <w:rsid w:val="00776599"/>
    <w:rsid w:val="0078114B"/>
    <w:rsid w:val="00781DD2"/>
    <w:rsid w:val="00783ECF"/>
    <w:rsid w:val="0078413A"/>
    <w:rsid w:val="0078526B"/>
    <w:rsid w:val="00790CA3"/>
    <w:rsid w:val="0079577E"/>
    <w:rsid w:val="007959E8"/>
    <w:rsid w:val="00795E9C"/>
    <w:rsid w:val="007A0521"/>
    <w:rsid w:val="007A061E"/>
    <w:rsid w:val="007A2E12"/>
    <w:rsid w:val="007A3475"/>
    <w:rsid w:val="007A41C8"/>
    <w:rsid w:val="007A54CE"/>
    <w:rsid w:val="007A5888"/>
    <w:rsid w:val="007A70C3"/>
    <w:rsid w:val="007A7FFA"/>
    <w:rsid w:val="007B04EB"/>
    <w:rsid w:val="007B0D4F"/>
    <w:rsid w:val="007B5A3D"/>
    <w:rsid w:val="007B5B95"/>
    <w:rsid w:val="007B68EA"/>
    <w:rsid w:val="007B7726"/>
    <w:rsid w:val="007C0676"/>
    <w:rsid w:val="007C19E8"/>
    <w:rsid w:val="007C2D89"/>
    <w:rsid w:val="007C4593"/>
    <w:rsid w:val="007C5309"/>
    <w:rsid w:val="007C6069"/>
    <w:rsid w:val="007D06C4"/>
    <w:rsid w:val="007D1352"/>
    <w:rsid w:val="007D2508"/>
    <w:rsid w:val="007D346A"/>
    <w:rsid w:val="007D51D2"/>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5C3F"/>
    <w:rsid w:val="008163C8"/>
    <w:rsid w:val="00817325"/>
    <w:rsid w:val="008209E6"/>
    <w:rsid w:val="00823303"/>
    <w:rsid w:val="008233B2"/>
    <w:rsid w:val="00823A9F"/>
    <w:rsid w:val="00823C85"/>
    <w:rsid w:val="00825138"/>
    <w:rsid w:val="008269DD"/>
    <w:rsid w:val="00830621"/>
    <w:rsid w:val="0083348C"/>
    <w:rsid w:val="008373D3"/>
    <w:rsid w:val="008404AB"/>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1D6"/>
    <w:rsid w:val="00870439"/>
    <w:rsid w:val="00870DA1"/>
    <w:rsid w:val="0087504E"/>
    <w:rsid w:val="00877500"/>
    <w:rsid w:val="00883F93"/>
    <w:rsid w:val="00884DB3"/>
    <w:rsid w:val="00885A9D"/>
    <w:rsid w:val="008864F6"/>
    <w:rsid w:val="008903BD"/>
    <w:rsid w:val="0089049D"/>
    <w:rsid w:val="00890A36"/>
    <w:rsid w:val="00890D1E"/>
    <w:rsid w:val="008928C9"/>
    <w:rsid w:val="008930D6"/>
    <w:rsid w:val="008938DC"/>
    <w:rsid w:val="00893FD1"/>
    <w:rsid w:val="008943C7"/>
    <w:rsid w:val="00894836"/>
    <w:rsid w:val="00895172"/>
    <w:rsid w:val="00895680"/>
    <w:rsid w:val="00896DFF"/>
    <w:rsid w:val="0089762C"/>
    <w:rsid w:val="008A1893"/>
    <w:rsid w:val="008A6DCC"/>
    <w:rsid w:val="008A769A"/>
    <w:rsid w:val="008B0C9C"/>
    <w:rsid w:val="008B166D"/>
    <w:rsid w:val="008B17F4"/>
    <w:rsid w:val="008B3615"/>
    <w:rsid w:val="008B4AC4"/>
    <w:rsid w:val="008B50C8"/>
    <w:rsid w:val="008B5281"/>
    <w:rsid w:val="008B7E05"/>
    <w:rsid w:val="008C0D1B"/>
    <w:rsid w:val="008C1797"/>
    <w:rsid w:val="008C219C"/>
    <w:rsid w:val="008C475E"/>
    <w:rsid w:val="008C619A"/>
    <w:rsid w:val="008D0CE8"/>
    <w:rsid w:val="008D2D1D"/>
    <w:rsid w:val="008D37A2"/>
    <w:rsid w:val="008D453D"/>
    <w:rsid w:val="008D53AD"/>
    <w:rsid w:val="008D562B"/>
    <w:rsid w:val="008D5733"/>
    <w:rsid w:val="008D622B"/>
    <w:rsid w:val="008D666C"/>
    <w:rsid w:val="008D771B"/>
    <w:rsid w:val="008D7B54"/>
    <w:rsid w:val="008E0C9D"/>
    <w:rsid w:val="008E1648"/>
    <w:rsid w:val="008E1B3E"/>
    <w:rsid w:val="008E2319"/>
    <w:rsid w:val="008E47E8"/>
    <w:rsid w:val="008E4BB6"/>
    <w:rsid w:val="008E5518"/>
    <w:rsid w:val="008E6A84"/>
    <w:rsid w:val="008F0CDC"/>
    <w:rsid w:val="008F17A3"/>
    <w:rsid w:val="008F1ED3"/>
    <w:rsid w:val="008F4C29"/>
    <w:rsid w:val="008F70BD"/>
    <w:rsid w:val="008F788F"/>
    <w:rsid w:val="008F7EA2"/>
    <w:rsid w:val="00901013"/>
    <w:rsid w:val="00902722"/>
    <w:rsid w:val="009027BC"/>
    <w:rsid w:val="00904CD7"/>
    <w:rsid w:val="009062E6"/>
    <w:rsid w:val="00911BE5"/>
    <w:rsid w:val="00913CA9"/>
    <w:rsid w:val="009145AE"/>
    <w:rsid w:val="009146CE"/>
    <w:rsid w:val="00914CA7"/>
    <w:rsid w:val="009157F9"/>
    <w:rsid w:val="00915C3E"/>
    <w:rsid w:val="009161A8"/>
    <w:rsid w:val="0091673D"/>
    <w:rsid w:val="00917309"/>
    <w:rsid w:val="009245F5"/>
    <w:rsid w:val="009249EC"/>
    <w:rsid w:val="009259FD"/>
    <w:rsid w:val="009273B3"/>
    <w:rsid w:val="009305B5"/>
    <w:rsid w:val="00934C12"/>
    <w:rsid w:val="009350C3"/>
    <w:rsid w:val="009429D5"/>
    <w:rsid w:val="00942BF1"/>
    <w:rsid w:val="00945180"/>
    <w:rsid w:val="00945428"/>
    <w:rsid w:val="0094607B"/>
    <w:rsid w:val="00952C52"/>
    <w:rsid w:val="00953604"/>
    <w:rsid w:val="009610DC"/>
    <w:rsid w:val="00961490"/>
    <w:rsid w:val="0096381A"/>
    <w:rsid w:val="00965E04"/>
    <w:rsid w:val="009674AD"/>
    <w:rsid w:val="00967B98"/>
    <w:rsid w:val="0097094E"/>
    <w:rsid w:val="00970CDC"/>
    <w:rsid w:val="00976C57"/>
    <w:rsid w:val="00977010"/>
    <w:rsid w:val="00977D02"/>
    <w:rsid w:val="009809BB"/>
    <w:rsid w:val="00982D22"/>
    <w:rsid w:val="0098364B"/>
    <w:rsid w:val="00983BF9"/>
    <w:rsid w:val="009911AF"/>
    <w:rsid w:val="00991875"/>
    <w:rsid w:val="00991F92"/>
    <w:rsid w:val="00992985"/>
    <w:rsid w:val="00993723"/>
    <w:rsid w:val="00993889"/>
    <w:rsid w:val="00994643"/>
    <w:rsid w:val="009946B2"/>
    <w:rsid w:val="0099551B"/>
    <w:rsid w:val="00997BF1"/>
    <w:rsid w:val="009A089C"/>
    <w:rsid w:val="009A118E"/>
    <w:rsid w:val="009A21CD"/>
    <w:rsid w:val="009A278C"/>
    <w:rsid w:val="009A2BC2"/>
    <w:rsid w:val="009A2F09"/>
    <w:rsid w:val="009A3EEC"/>
    <w:rsid w:val="009A42C1"/>
    <w:rsid w:val="009A5429"/>
    <w:rsid w:val="009A72AD"/>
    <w:rsid w:val="009B09E0"/>
    <w:rsid w:val="009B0BC5"/>
    <w:rsid w:val="009B1247"/>
    <w:rsid w:val="009B6029"/>
    <w:rsid w:val="009B696E"/>
    <w:rsid w:val="009B6971"/>
    <w:rsid w:val="009C27F1"/>
    <w:rsid w:val="009C3152"/>
    <w:rsid w:val="009C387B"/>
    <w:rsid w:val="009C43C0"/>
    <w:rsid w:val="009C4CFA"/>
    <w:rsid w:val="009C5070"/>
    <w:rsid w:val="009D112C"/>
    <w:rsid w:val="009D47FA"/>
    <w:rsid w:val="009D50D2"/>
    <w:rsid w:val="009D6BCA"/>
    <w:rsid w:val="009D7B1E"/>
    <w:rsid w:val="009E0F62"/>
    <w:rsid w:val="009E3C6C"/>
    <w:rsid w:val="009E4A58"/>
    <w:rsid w:val="009E5A2D"/>
    <w:rsid w:val="009E5AB2"/>
    <w:rsid w:val="009E6219"/>
    <w:rsid w:val="009F03B3"/>
    <w:rsid w:val="009F0D4F"/>
    <w:rsid w:val="00A01757"/>
    <w:rsid w:val="00A028C0"/>
    <w:rsid w:val="00A02BAE"/>
    <w:rsid w:val="00A044BD"/>
    <w:rsid w:val="00A06A6B"/>
    <w:rsid w:val="00A075B2"/>
    <w:rsid w:val="00A07E47"/>
    <w:rsid w:val="00A129D0"/>
    <w:rsid w:val="00A12C33"/>
    <w:rsid w:val="00A138BA"/>
    <w:rsid w:val="00A14C8E"/>
    <w:rsid w:val="00A1513A"/>
    <w:rsid w:val="00A153D9"/>
    <w:rsid w:val="00A15F09"/>
    <w:rsid w:val="00A169B6"/>
    <w:rsid w:val="00A2271D"/>
    <w:rsid w:val="00A236E5"/>
    <w:rsid w:val="00A237D5"/>
    <w:rsid w:val="00A24F7B"/>
    <w:rsid w:val="00A30EFC"/>
    <w:rsid w:val="00A31105"/>
    <w:rsid w:val="00A31984"/>
    <w:rsid w:val="00A32D73"/>
    <w:rsid w:val="00A32ECE"/>
    <w:rsid w:val="00A3367B"/>
    <w:rsid w:val="00A3597D"/>
    <w:rsid w:val="00A40091"/>
    <w:rsid w:val="00A4030F"/>
    <w:rsid w:val="00A40352"/>
    <w:rsid w:val="00A41C79"/>
    <w:rsid w:val="00A41CB5"/>
    <w:rsid w:val="00A42813"/>
    <w:rsid w:val="00A42CDF"/>
    <w:rsid w:val="00A434FE"/>
    <w:rsid w:val="00A4452E"/>
    <w:rsid w:val="00A4472C"/>
    <w:rsid w:val="00A44E69"/>
    <w:rsid w:val="00A4661E"/>
    <w:rsid w:val="00A5035F"/>
    <w:rsid w:val="00A55BD6"/>
    <w:rsid w:val="00A55D50"/>
    <w:rsid w:val="00A57142"/>
    <w:rsid w:val="00A633BC"/>
    <w:rsid w:val="00A648CD"/>
    <w:rsid w:val="00A6537A"/>
    <w:rsid w:val="00A66ACD"/>
    <w:rsid w:val="00A66B92"/>
    <w:rsid w:val="00A67866"/>
    <w:rsid w:val="00A70B07"/>
    <w:rsid w:val="00A723F8"/>
    <w:rsid w:val="00A7587F"/>
    <w:rsid w:val="00A77CCB"/>
    <w:rsid w:val="00A82D51"/>
    <w:rsid w:val="00A83D8D"/>
    <w:rsid w:val="00A8446B"/>
    <w:rsid w:val="00A8473F"/>
    <w:rsid w:val="00A862D6"/>
    <w:rsid w:val="00A8715E"/>
    <w:rsid w:val="00A9295B"/>
    <w:rsid w:val="00A93B09"/>
    <w:rsid w:val="00A94E5F"/>
    <w:rsid w:val="00A952D7"/>
    <w:rsid w:val="00A95595"/>
    <w:rsid w:val="00A957CD"/>
    <w:rsid w:val="00A95B7F"/>
    <w:rsid w:val="00A963F7"/>
    <w:rsid w:val="00A96AD8"/>
    <w:rsid w:val="00AA052C"/>
    <w:rsid w:val="00AA1E45"/>
    <w:rsid w:val="00AA2A24"/>
    <w:rsid w:val="00AA2B58"/>
    <w:rsid w:val="00AA3E5D"/>
    <w:rsid w:val="00AA4286"/>
    <w:rsid w:val="00AA456B"/>
    <w:rsid w:val="00AA57F5"/>
    <w:rsid w:val="00AA672E"/>
    <w:rsid w:val="00AA6EC9"/>
    <w:rsid w:val="00AB162D"/>
    <w:rsid w:val="00AB487A"/>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397F"/>
    <w:rsid w:val="00AD3BF5"/>
    <w:rsid w:val="00AD4126"/>
    <w:rsid w:val="00AD421C"/>
    <w:rsid w:val="00AD44FA"/>
    <w:rsid w:val="00AE070A"/>
    <w:rsid w:val="00AE101C"/>
    <w:rsid w:val="00AE366E"/>
    <w:rsid w:val="00AF0C18"/>
    <w:rsid w:val="00AF47C5"/>
    <w:rsid w:val="00AF5398"/>
    <w:rsid w:val="00B049AF"/>
    <w:rsid w:val="00B05419"/>
    <w:rsid w:val="00B07242"/>
    <w:rsid w:val="00B07DC8"/>
    <w:rsid w:val="00B10534"/>
    <w:rsid w:val="00B113DB"/>
    <w:rsid w:val="00B11D8A"/>
    <w:rsid w:val="00B12981"/>
    <w:rsid w:val="00B147DD"/>
    <w:rsid w:val="00B156FD"/>
    <w:rsid w:val="00B21F61"/>
    <w:rsid w:val="00B23045"/>
    <w:rsid w:val="00B233D9"/>
    <w:rsid w:val="00B24B37"/>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B93"/>
    <w:rsid w:val="00B512DF"/>
    <w:rsid w:val="00B52120"/>
    <w:rsid w:val="00B54ABC"/>
    <w:rsid w:val="00B56FBE"/>
    <w:rsid w:val="00B62B58"/>
    <w:rsid w:val="00B65149"/>
    <w:rsid w:val="00B66567"/>
    <w:rsid w:val="00B66F52"/>
    <w:rsid w:val="00B66FE5"/>
    <w:rsid w:val="00B675B7"/>
    <w:rsid w:val="00B71951"/>
    <w:rsid w:val="00B72880"/>
    <w:rsid w:val="00B72A09"/>
    <w:rsid w:val="00B7372D"/>
    <w:rsid w:val="00B73D29"/>
    <w:rsid w:val="00B758BF"/>
    <w:rsid w:val="00B827A6"/>
    <w:rsid w:val="00B831CE"/>
    <w:rsid w:val="00B83BCF"/>
    <w:rsid w:val="00B86677"/>
    <w:rsid w:val="00B87131"/>
    <w:rsid w:val="00B9127B"/>
    <w:rsid w:val="00B91566"/>
    <w:rsid w:val="00B9320C"/>
    <w:rsid w:val="00B939B1"/>
    <w:rsid w:val="00B96D40"/>
    <w:rsid w:val="00B97386"/>
    <w:rsid w:val="00BA263B"/>
    <w:rsid w:val="00BA42B2"/>
    <w:rsid w:val="00BA58D4"/>
    <w:rsid w:val="00BA5B9E"/>
    <w:rsid w:val="00BA762A"/>
    <w:rsid w:val="00BA7C9A"/>
    <w:rsid w:val="00BB53CB"/>
    <w:rsid w:val="00BB5F8F"/>
    <w:rsid w:val="00BB657A"/>
    <w:rsid w:val="00BC07B8"/>
    <w:rsid w:val="00BC1A4E"/>
    <w:rsid w:val="00BC5DC7"/>
    <w:rsid w:val="00BC6B8B"/>
    <w:rsid w:val="00BC73D8"/>
    <w:rsid w:val="00BD02CE"/>
    <w:rsid w:val="00BD52D7"/>
    <w:rsid w:val="00BD5AD2"/>
    <w:rsid w:val="00BD6082"/>
    <w:rsid w:val="00BD7B0A"/>
    <w:rsid w:val="00BE22F3"/>
    <w:rsid w:val="00BE3A89"/>
    <w:rsid w:val="00BE49EE"/>
    <w:rsid w:val="00BE5B52"/>
    <w:rsid w:val="00BE7B8D"/>
    <w:rsid w:val="00BF0993"/>
    <w:rsid w:val="00BF10A9"/>
    <w:rsid w:val="00BF1703"/>
    <w:rsid w:val="00BF231C"/>
    <w:rsid w:val="00BF51DC"/>
    <w:rsid w:val="00BF51E5"/>
    <w:rsid w:val="00BF74A6"/>
    <w:rsid w:val="00C00510"/>
    <w:rsid w:val="00C013AD"/>
    <w:rsid w:val="00C04904"/>
    <w:rsid w:val="00C05153"/>
    <w:rsid w:val="00C056B3"/>
    <w:rsid w:val="00C103E5"/>
    <w:rsid w:val="00C12023"/>
    <w:rsid w:val="00C13319"/>
    <w:rsid w:val="00C13915"/>
    <w:rsid w:val="00C13EA9"/>
    <w:rsid w:val="00C13EE9"/>
    <w:rsid w:val="00C14D87"/>
    <w:rsid w:val="00C15484"/>
    <w:rsid w:val="00C21540"/>
    <w:rsid w:val="00C21906"/>
    <w:rsid w:val="00C21BFA"/>
    <w:rsid w:val="00C24C8D"/>
    <w:rsid w:val="00C25FE2"/>
    <w:rsid w:val="00C26B53"/>
    <w:rsid w:val="00C279B2"/>
    <w:rsid w:val="00C330D7"/>
    <w:rsid w:val="00C33E50"/>
    <w:rsid w:val="00C34C20"/>
    <w:rsid w:val="00C35A3E"/>
    <w:rsid w:val="00C42130"/>
    <w:rsid w:val="00C423A4"/>
    <w:rsid w:val="00C44BF5"/>
    <w:rsid w:val="00C55232"/>
    <w:rsid w:val="00C553A4"/>
    <w:rsid w:val="00C55A06"/>
    <w:rsid w:val="00C55D03"/>
    <w:rsid w:val="00C601BC"/>
    <w:rsid w:val="00C61346"/>
    <w:rsid w:val="00C6329F"/>
    <w:rsid w:val="00C63340"/>
    <w:rsid w:val="00C643F9"/>
    <w:rsid w:val="00C64E95"/>
    <w:rsid w:val="00C655FD"/>
    <w:rsid w:val="00C6649A"/>
    <w:rsid w:val="00C71372"/>
    <w:rsid w:val="00C72410"/>
    <w:rsid w:val="00C7287F"/>
    <w:rsid w:val="00C72F0E"/>
    <w:rsid w:val="00C72FAD"/>
    <w:rsid w:val="00C803E8"/>
    <w:rsid w:val="00C80CB8"/>
    <w:rsid w:val="00C819F8"/>
    <w:rsid w:val="00C8248C"/>
    <w:rsid w:val="00C8253E"/>
    <w:rsid w:val="00C84E33"/>
    <w:rsid w:val="00C86D6F"/>
    <w:rsid w:val="00C878F4"/>
    <w:rsid w:val="00C87F4B"/>
    <w:rsid w:val="00C905FC"/>
    <w:rsid w:val="00C92D03"/>
    <w:rsid w:val="00C9319C"/>
    <w:rsid w:val="00C93B27"/>
    <w:rsid w:val="00C9435D"/>
    <w:rsid w:val="00C9517F"/>
    <w:rsid w:val="00C95622"/>
    <w:rsid w:val="00C959BA"/>
    <w:rsid w:val="00C96741"/>
    <w:rsid w:val="00CA2D1B"/>
    <w:rsid w:val="00CA662A"/>
    <w:rsid w:val="00CA7AFD"/>
    <w:rsid w:val="00CA7C3C"/>
    <w:rsid w:val="00CB0189"/>
    <w:rsid w:val="00CB0BA2"/>
    <w:rsid w:val="00CB1A42"/>
    <w:rsid w:val="00CB1B0C"/>
    <w:rsid w:val="00CB2C0B"/>
    <w:rsid w:val="00CB2C70"/>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AD9"/>
    <w:rsid w:val="00CE30EA"/>
    <w:rsid w:val="00CF048A"/>
    <w:rsid w:val="00CF155A"/>
    <w:rsid w:val="00CF2947"/>
    <w:rsid w:val="00CF44B1"/>
    <w:rsid w:val="00CF4823"/>
    <w:rsid w:val="00CF686F"/>
    <w:rsid w:val="00CF69AC"/>
    <w:rsid w:val="00CF6B2E"/>
    <w:rsid w:val="00CF6E60"/>
    <w:rsid w:val="00CF7BCA"/>
    <w:rsid w:val="00D008FD"/>
    <w:rsid w:val="00D01951"/>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35598"/>
    <w:rsid w:val="00D40A83"/>
    <w:rsid w:val="00D4162B"/>
    <w:rsid w:val="00D41892"/>
    <w:rsid w:val="00D4514F"/>
    <w:rsid w:val="00D451E2"/>
    <w:rsid w:val="00D4545E"/>
    <w:rsid w:val="00D45E89"/>
    <w:rsid w:val="00D45E8D"/>
    <w:rsid w:val="00D466AE"/>
    <w:rsid w:val="00D46F5F"/>
    <w:rsid w:val="00D4734F"/>
    <w:rsid w:val="00D51BF3"/>
    <w:rsid w:val="00D63276"/>
    <w:rsid w:val="00D6402F"/>
    <w:rsid w:val="00D66846"/>
    <w:rsid w:val="00D675FB"/>
    <w:rsid w:val="00D67CAC"/>
    <w:rsid w:val="00D71F25"/>
    <w:rsid w:val="00D77031"/>
    <w:rsid w:val="00D818CE"/>
    <w:rsid w:val="00D84941"/>
    <w:rsid w:val="00D84FA1"/>
    <w:rsid w:val="00D851F0"/>
    <w:rsid w:val="00D86DB7"/>
    <w:rsid w:val="00D90C0D"/>
    <w:rsid w:val="00D926D0"/>
    <w:rsid w:val="00D93030"/>
    <w:rsid w:val="00D950E1"/>
    <w:rsid w:val="00D952A6"/>
    <w:rsid w:val="00D97F99"/>
    <w:rsid w:val="00DA093B"/>
    <w:rsid w:val="00DA0DA0"/>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0F9C"/>
    <w:rsid w:val="00DC3067"/>
    <w:rsid w:val="00DC370B"/>
    <w:rsid w:val="00DC5B90"/>
    <w:rsid w:val="00DD00F2"/>
    <w:rsid w:val="00DD00FF"/>
    <w:rsid w:val="00DD0619"/>
    <w:rsid w:val="00DD07FB"/>
    <w:rsid w:val="00DD25C6"/>
    <w:rsid w:val="00DD39D3"/>
    <w:rsid w:val="00DD54B0"/>
    <w:rsid w:val="00DD57EE"/>
    <w:rsid w:val="00DD6BCC"/>
    <w:rsid w:val="00DE0A4B"/>
    <w:rsid w:val="00DE2410"/>
    <w:rsid w:val="00DE2939"/>
    <w:rsid w:val="00DE51F0"/>
    <w:rsid w:val="00DE6E81"/>
    <w:rsid w:val="00DE703F"/>
    <w:rsid w:val="00DE7595"/>
    <w:rsid w:val="00DF15BE"/>
    <w:rsid w:val="00DF1961"/>
    <w:rsid w:val="00DF2AD7"/>
    <w:rsid w:val="00DF44DE"/>
    <w:rsid w:val="00DF7154"/>
    <w:rsid w:val="00E01138"/>
    <w:rsid w:val="00E02DFB"/>
    <w:rsid w:val="00E030F9"/>
    <w:rsid w:val="00E0311A"/>
    <w:rsid w:val="00E03138"/>
    <w:rsid w:val="00E06404"/>
    <w:rsid w:val="00E07477"/>
    <w:rsid w:val="00E11A85"/>
    <w:rsid w:val="00E12495"/>
    <w:rsid w:val="00E14911"/>
    <w:rsid w:val="00E15CCD"/>
    <w:rsid w:val="00E202EF"/>
    <w:rsid w:val="00E210B5"/>
    <w:rsid w:val="00E2552F"/>
    <w:rsid w:val="00E261AB"/>
    <w:rsid w:val="00E3137A"/>
    <w:rsid w:val="00E32CCF"/>
    <w:rsid w:val="00E34A98"/>
    <w:rsid w:val="00E35D1E"/>
    <w:rsid w:val="00E364F9"/>
    <w:rsid w:val="00E365FA"/>
    <w:rsid w:val="00E40441"/>
    <w:rsid w:val="00E40C94"/>
    <w:rsid w:val="00E41F04"/>
    <w:rsid w:val="00E43AF5"/>
    <w:rsid w:val="00E44A83"/>
    <w:rsid w:val="00E502C1"/>
    <w:rsid w:val="00E502DD"/>
    <w:rsid w:val="00E50D3A"/>
    <w:rsid w:val="00E51387"/>
    <w:rsid w:val="00E51E68"/>
    <w:rsid w:val="00E52EFD"/>
    <w:rsid w:val="00E5408A"/>
    <w:rsid w:val="00E56800"/>
    <w:rsid w:val="00E56D69"/>
    <w:rsid w:val="00E60CD7"/>
    <w:rsid w:val="00E61F06"/>
    <w:rsid w:val="00E62FF9"/>
    <w:rsid w:val="00E635D6"/>
    <w:rsid w:val="00E639BC"/>
    <w:rsid w:val="00E64CB0"/>
    <w:rsid w:val="00E664CC"/>
    <w:rsid w:val="00E70388"/>
    <w:rsid w:val="00E70F92"/>
    <w:rsid w:val="00E719E7"/>
    <w:rsid w:val="00E72011"/>
    <w:rsid w:val="00E74C54"/>
    <w:rsid w:val="00E765DF"/>
    <w:rsid w:val="00E77A03"/>
    <w:rsid w:val="00E8167E"/>
    <w:rsid w:val="00E822E8"/>
    <w:rsid w:val="00E82554"/>
    <w:rsid w:val="00E82606"/>
    <w:rsid w:val="00E846C8"/>
    <w:rsid w:val="00E84957"/>
    <w:rsid w:val="00E84A55"/>
    <w:rsid w:val="00E85BFF"/>
    <w:rsid w:val="00E90391"/>
    <w:rsid w:val="00E906C2"/>
    <w:rsid w:val="00E9097A"/>
    <w:rsid w:val="00E9145D"/>
    <w:rsid w:val="00E927FA"/>
    <w:rsid w:val="00E9311F"/>
    <w:rsid w:val="00E934D1"/>
    <w:rsid w:val="00E94AF0"/>
    <w:rsid w:val="00E95D13"/>
    <w:rsid w:val="00E95DD3"/>
    <w:rsid w:val="00E969D5"/>
    <w:rsid w:val="00E97BCC"/>
    <w:rsid w:val="00EA58D1"/>
    <w:rsid w:val="00EA61BC"/>
    <w:rsid w:val="00EA681A"/>
    <w:rsid w:val="00EA735B"/>
    <w:rsid w:val="00EB1E69"/>
    <w:rsid w:val="00EB2086"/>
    <w:rsid w:val="00EB5EDF"/>
    <w:rsid w:val="00EB60FE"/>
    <w:rsid w:val="00EB631F"/>
    <w:rsid w:val="00EB74DB"/>
    <w:rsid w:val="00EC07D8"/>
    <w:rsid w:val="00EC524B"/>
    <w:rsid w:val="00EC5359"/>
    <w:rsid w:val="00EC562A"/>
    <w:rsid w:val="00EC75AA"/>
    <w:rsid w:val="00ED067A"/>
    <w:rsid w:val="00ED15CB"/>
    <w:rsid w:val="00ED2B50"/>
    <w:rsid w:val="00ED7C37"/>
    <w:rsid w:val="00EE0350"/>
    <w:rsid w:val="00EE0719"/>
    <w:rsid w:val="00EE0E80"/>
    <w:rsid w:val="00EE613F"/>
    <w:rsid w:val="00EE7295"/>
    <w:rsid w:val="00EE7869"/>
    <w:rsid w:val="00EF054A"/>
    <w:rsid w:val="00EF3235"/>
    <w:rsid w:val="00EF4DA9"/>
    <w:rsid w:val="00EF7E72"/>
    <w:rsid w:val="00F038D0"/>
    <w:rsid w:val="00F06D37"/>
    <w:rsid w:val="00F06D8E"/>
    <w:rsid w:val="00F07B9D"/>
    <w:rsid w:val="00F11586"/>
    <w:rsid w:val="00F1183B"/>
    <w:rsid w:val="00F11C9F"/>
    <w:rsid w:val="00F12263"/>
    <w:rsid w:val="00F12FBA"/>
    <w:rsid w:val="00F1409D"/>
    <w:rsid w:val="00F14214"/>
    <w:rsid w:val="00F146BD"/>
    <w:rsid w:val="00F157A9"/>
    <w:rsid w:val="00F25BB6"/>
    <w:rsid w:val="00F26B7E"/>
    <w:rsid w:val="00F27A3B"/>
    <w:rsid w:val="00F27A73"/>
    <w:rsid w:val="00F33817"/>
    <w:rsid w:val="00F361B9"/>
    <w:rsid w:val="00F41297"/>
    <w:rsid w:val="00F420D5"/>
    <w:rsid w:val="00F451EA"/>
    <w:rsid w:val="00F45447"/>
    <w:rsid w:val="00F456C6"/>
    <w:rsid w:val="00F4577B"/>
    <w:rsid w:val="00F46496"/>
    <w:rsid w:val="00F474D0"/>
    <w:rsid w:val="00F50179"/>
    <w:rsid w:val="00F5029A"/>
    <w:rsid w:val="00F56511"/>
    <w:rsid w:val="00F6194E"/>
    <w:rsid w:val="00F623AC"/>
    <w:rsid w:val="00F638F6"/>
    <w:rsid w:val="00F6412A"/>
    <w:rsid w:val="00F64C59"/>
    <w:rsid w:val="00F65893"/>
    <w:rsid w:val="00F66A4A"/>
    <w:rsid w:val="00F70179"/>
    <w:rsid w:val="00F705A3"/>
    <w:rsid w:val="00F71E22"/>
    <w:rsid w:val="00F72142"/>
    <w:rsid w:val="00F72AE7"/>
    <w:rsid w:val="00F84934"/>
    <w:rsid w:val="00F84FD0"/>
    <w:rsid w:val="00F859A8"/>
    <w:rsid w:val="00F8792B"/>
    <w:rsid w:val="00F9108B"/>
    <w:rsid w:val="00F91349"/>
    <w:rsid w:val="00F9328D"/>
    <w:rsid w:val="00F93A8A"/>
    <w:rsid w:val="00F94260"/>
    <w:rsid w:val="00F95248"/>
    <w:rsid w:val="00F956A9"/>
    <w:rsid w:val="00F963ED"/>
    <w:rsid w:val="00F966CF"/>
    <w:rsid w:val="00F96CAE"/>
    <w:rsid w:val="00F97C99"/>
    <w:rsid w:val="00FA662D"/>
    <w:rsid w:val="00FA73B1"/>
    <w:rsid w:val="00FB0CB9"/>
    <w:rsid w:val="00FB45F1"/>
    <w:rsid w:val="00FB4A72"/>
    <w:rsid w:val="00FB54E8"/>
    <w:rsid w:val="00FB67AE"/>
    <w:rsid w:val="00FB7054"/>
    <w:rsid w:val="00FC17B7"/>
    <w:rsid w:val="00FC186F"/>
    <w:rsid w:val="00FC2744"/>
    <w:rsid w:val="00FC2CB7"/>
    <w:rsid w:val="00FC4090"/>
    <w:rsid w:val="00FC55B4"/>
    <w:rsid w:val="00FD00E6"/>
    <w:rsid w:val="00FD09A1"/>
    <w:rsid w:val="00FD2A7C"/>
    <w:rsid w:val="00FD59EB"/>
    <w:rsid w:val="00FD603E"/>
    <w:rsid w:val="00FD7299"/>
    <w:rsid w:val="00FE1FBE"/>
    <w:rsid w:val="00FE3901"/>
    <w:rsid w:val="00FE4BCE"/>
    <w:rsid w:val="00FE54AE"/>
    <w:rsid w:val="00FE576A"/>
    <w:rsid w:val="00FE61CF"/>
    <w:rsid w:val="00FE7E79"/>
    <w:rsid w:val="00FF3E7D"/>
    <w:rsid w:val="00FF5B99"/>
    <w:rsid w:val="00FF730C"/>
    <w:rsid w:val="00FF73F4"/>
    <w:rsid w:val="00FF7CE4"/>
    <w:rsid w:val="00FF7E39"/>
    <w:rsid w:val="01143A79"/>
    <w:rsid w:val="014C4616"/>
    <w:rsid w:val="01532565"/>
    <w:rsid w:val="01E07299"/>
    <w:rsid w:val="021221E9"/>
    <w:rsid w:val="023A0973"/>
    <w:rsid w:val="0272252B"/>
    <w:rsid w:val="039B5B6E"/>
    <w:rsid w:val="03A65BD7"/>
    <w:rsid w:val="03F05738"/>
    <w:rsid w:val="040C6A6B"/>
    <w:rsid w:val="04EB3047"/>
    <w:rsid w:val="05703DF2"/>
    <w:rsid w:val="05791E17"/>
    <w:rsid w:val="057A66E3"/>
    <w:rsid w:val="05860C9E"/>
    <w:rsid w:val="059871F0"/>
    <w:rsid w:val="05AA686C"/>
    <w:rsid w:val="05C73F93"/>
    <w:rsid w:val="05CA0BCD"/>
    <w:rsid w:val="06791E4E"/>
    <w:rsid w:val="074318E3"/>
    <w:rsid w:val="07667C32"/>
    <w:rsid w:val="07744905"/>
    <w:rsid w:val="08297AD3"/>
    <w:rsid w:val="08583A33"/>
    <w:rsid w:val="09594501"/>
    <w:rsid w:val="09CB47B8"/>
    <w:rsid w:val="0A054269"/>
    <w:rsid w:val="0A2A0EB5"/>
    <w:rsid w:val="0A4504FC"/>
    <w:rsid w:val="0AA76DC1"/>
    <w:rsid w:val="0ACE4DB5"/>
    <w:rsid w:val="0AEA5EFC"/>
    <w:rsid w:val="0B8B1580"/>
    <w:rsid w:val="0BB357A8"/>
    <w:rsid w:val="0C0946E0"/>
    <w:rsid w:val="0C586319"/>
    <w:rsid w:val="0C646D39"/>
    <w:rsid w:val="0CDB668A"/>
    <w:rsid w:val="0D0571B2"/>
    <w:rsid w:val="0D1B3D40"/>
    <w:rsid w:val="0D6A11DE"/>
    <w:rsid w:val="0D8071AC"/>
    <w:rsid w:val="0DD127FC"/>
    <w:rsid w:val="0DE134A1"/>
    <w:rsid w:val="0E0E3AFA"/>
    <w:rsid w:val="0E475BC2"/>
    <w:rsid w:val="0E587FD4"/>
    <w:rsid w:val="0E840674"/>
    <w:rsid w:val="0EE43CF1"/>
    <w:rsid w:val="0F0F7322"/>
    <w:rsid w:val="0FBC6391"/>
    <w:rsid w:val="10386B2E"/>
    <w:rsid w:val="10503E00"/>
    <w:rsid w:val="10594E62"/>
    <w:rsid w:val="10616D58"/>
    <w:rsid w:val="10C4697C"/>
    <w:rsid w:val="114B509A"/>
    <w:rsid w:val="11B94773"/>
    <w:rsid w:val="11E63F28"/>
    <w:rsid w:val="123B1592"/>
    <w:rsid w:val="126443AE"/>
    <w:rsid w:val="12841A81"/>
    <w:rsid w:val="12E70682"/>
    <w:rsid w:val="138C5CBD"/>
    <w:rsid w:val="13B76615"/>
    <w:rsid w:val="13FE6BB5"/>
    <w:rsid w:val="14164FE1"/>
    <w:rsid w:val="145C6C53"/>
    <w:rsid w:val="150D41C5"/>
    <w:rsid w:val="151E2391"/>
    <w:rsid w:val="15A94227"/>
    <w:rsid w:val="162817BA"/>
    <w:rsid w:val="16364D95"/>
    <w:rsid w:val="169029D0"/>
    <w:rsid w:val="16AD5407"/>
    <w:rsid w:val="16FA7BB9"/>
    <w:rsid w:val="173317C6"/>
    <w:rsid w:val="173337A6"/>
    <w:rsid w:val="17464F72"/>
    <w:rsid w:val="17683053"/>
    <w:rsid w:val="17C72565"/>
    <w:rsid w:val="18C04F43"/>
    <w:rsid w:val="19672837"/>
    <w:rsid w:val="1A52289F"/>
    <w:rsid w:val="1A9A5319"/>
    <w:rsid w:val="1AD533ED"/>
    <w:rsid w:val="1B7306CD"/>
    <w:rsid w:val="1BA767B7"/>
    <w:rsid w:val="1BEC545A"/>
    <w:rsid w:val="1C367D30"/>
    <w:rsid w:val="1CAA19D5"/>
    <w:rsid w:val="1D0809E7"/>
    <w:rsid w:val="1D1772DF"/>
    <w:rsid w:val="1D436C02"/>
    <w:rsid w:val="1D5C6BC7"/>
    <w:rsid w:val="1DC83138"/>
    <w:rsid w:val="1DCD3558"/>
    <w:rsid w:val="1DE4047D"/>
    <w:rsid w:val="1DF51AB7"/>
    <w:rsid w:val="1E160051"/>
    <w:rsid w:val="1F2B2044"/>
    <w:rsid w:val="1F5D5C72"/>
    <w:rsid w:val="1F6935AD"/>
    <w:rsid w:val="1F9242FB"/>
    <w:rsid w:val="1FD2426D"/>
    <w:rsid w:val="1FD97655"/>
    <w:rsid w:val="211461DA"/>
    <w:rsid w:val="22510DA3"/>
    <w:rsid w:val="22C158CA"/>
    <w:rsid w:val="23A207B9"/>
    <w:rsid w:val="2492221D"/>
    <w:rsid w:val="252C5750"/>
    <w:rsid w:val="254A6D9E"/>
    <w:rsid w:val="25CC1B65"/>
    <w:rsid w:val="25E36BE4"/>
    <w:rsid w:val="269767AA"/>
    <w:rsid w:val="26F15028"/>
    <w:rsid w:val="273A026C"/>
    <w:rsid w:val="27961DC5"/>
    <w:rsid w:val="27B678CE"/>
    <w:rsid w:val="27DB76FF"/>
    <w:rsid w:val="285E189A"/>
    <w:rsid w:val="286F1A6D"/>
    <w:rsid w:val="28A73C12"/>
    <w:rsid w:val="296C128F"/>
    <w:rsid w:val="29857788"/>
    <w:rsid w:val="2A7702BA"/>
    <w:rsid w:val="2AF74D99"/>
    <w:rsid w:val="2B664707"/>
    <w:rsid w:val="2B9F4934"/>
    <w:rsid w:val="2BC5737C"/>
    <w:rsid w:val="2C351E0C"/>
    <w:rsid w:val="2CD0341D"/>
    <w:rsid w:val="2CDF7FCA"/>
    <w:rsid w:val="2CE6415A"/>
    <w:rsid w:val="2D5409B8"/>
    <w:rsid w:val="2D5751DC"/>
    <w:rsid w:val="2D8425FC"/>
    <w:rsid w:val="2DB27A24"/>
    <w:rsid w:val="2DB47D53"/>
    <w:rsid w:val="2DFA4060"/>
    <w:rsid w:val="2E946A00"/>
    <w:rsid w:val="2F2848EC"/>
    <w:rsid w:val="2F4F2BF5"/>
    <w:rsid w:val="2F623852"/>
    <w:rsid w:val="2F80201D"/>
    <w:rsid w:val="2FBA0434"/>
    <w:rsid w:val="30135D9A"/>
    <w:rsid w:val="30870232"/>
    <w:rsid w:val="3092052E"/>
    <w:rsid w:val="30E9427D"/>
    <w:rsid w:val="30EA1E11"/>
    <w:rsid w:val="31352997"/>
    <w:rsid w:val="31844C93"/>
    <w:rsid w:val="31AB59F4"/>
    <w:rsid w:val="31DC30E7"/>
    <w:rsid w:val="32133608"/>
    <w:rsid w:val="32476D3D"/>
    <w:rsid w:val="32CD3E09"/>
    <w:rsid w:val="32F04CDF"/>
    <w:rsid w:val="33E15F5C"/>
    <w:rsid w:val="33EF524D"/>
    <w:rsid w:val="34530400"/>
    <w:rsid w:val="35696627"/>
    <w:rsid w:val="3584275E"/>
    <w:rsid w:val="35894E76"/>
    <w:rsid w:val="35D734AC"/>
    <w:rsid w:val="3602643A"/>
    <w:rsid w:val="3617143F"/>
    <w:rsid w:val="36767A7A"/>
    <w:rsid w:val="36A20706"/>
    <w:rsid w:val="36FC55AA"/>
    <w:rsid w:val="374B6987"/>
    <w:rsid w:val="37FF0CD7"/>
    <w:rsid w:val="38266FED"/>
    <w:rsid w:val="387B0CF4"/>
    <w:rsid w:val="38980476"/>
    <w:rsid w:val="38A103B9"/>
    <w:rsid w:val="38D9189E"/>
    <w:rsid w:val="38DA0577"/>
    <w:rsid w:val="38E86BAD"/>
    <w:rsid w:val="39086827"/>
    <w:rsid w:val="39900915"/>
    <w:rsid w:val="39A85E20"/>
    <w:rsid w:val="39F977ED"/>
    <w:rsid w:val="3A102AA1"/>
    <w:rsid w:val="3A5A6509"/>
    <w:rsid w:val="3AB807D8"/>
    <w:rsid w:val="3AE64419"/>
    <w:rsid w:val="3B0845DB"/>
    <w:rsid w:val="3B317A02"/>
    <w:rsid w:val="3B491AB4"/>
    <w:rsid w:val="3B4A1AE9"/>
    <w:rsid w:val="3B7010B2"/>
    <w:rsid w:val="3B920249"/>
    <w:rsid w:val="3BE56B66"/>
    <w:rsid w:val="3CC01BC6"/>
    <w:rsid w:val="3CCF1E09"/>
    <w:rsid w:val="3D715506"/>
    <w:rsid w:val="3D847071"/>
    <w:rsid w:val="3E5A7D90"/>
    <w:rsid w:val="3ECA1F69"/>
    <w:rsid w:val="3ED878C4"/>
    <w:rsid w:val="3ED9024D"/>
    <w:rsid w:val="3EF1135D"/>
    <w:rsid w:val="3F426E9C"/>
    <w:rsid w:val="3F4A39C9"/>
    <w:rsid w:val="3F554345"/>
    <w:rsid w:val="3F58053B"/>
    <w:rsid w:val="3FB72917"/>
    <w:rsid w:val="3FC25DE5"/>
    <w:rsid w:val="3FC806A4"/>
    <w:rsid w:val="3FEEFC2A"/>
    <w:rsid w:val="3FF21BEE"/>
    <w:rsid w:val="406B2453"/>
    <w:rsid w:val="40971F71"/>
    <w:rsid w:val="40A766F0"/>
    <w:rsid w:val="40BE0576"/>
    <w:rsid w:val="40F30CFC"/>
    <w:rsid w:val="411E6E06"/>
    <w:rsid w:val="412069A1"/>
    <w:rsid w:val="423D47D9"/>
    <w:rsid w:val="42664FBD"/>
    <w:rsid w:val="42676C90"/>
    <w:rsid w:val="42711AE5"/>
    <w:rsid w:val="42935EE2"/>
    <w:rsid w:val="42E96CD8"/>
    <w:rsid w:val="42F054FD"/>
    <w:rsid w:val="43361AE3"/>
    <w:rsid w:val="43A51B15"/>
    <w:rsid w:val="43E27D04"/>
    <w:rsid w:val="43FF7A83"/>
    <w:rsid w:val="446C6A13"/>
    <w:rsid w:val="44840472"/>
    <w:rsid w:val="44C055EF"/>
    <w:rsid w:val="45464676"/>
    <w:rsid w:val="45CA5BB4"/>
    <w:rsid w:val="45EF0E5C"/>
    <w:rsid w:val="46205731"/>
    <w:rsid w:val="46236C65"/>
    <w:rsid w:val="462F3AE7"/>
    <w:rsid w:val="46BF7D82"/>
    <w:rsid w:val="46F86BCD"/>
    <w:rsid w:val="47017ECD"/>
    <w:rsid w:val="47096E94"/>
    <w:rsid w:val="475078B5"/>
    <w:rsid w:val="479E7EBB"/>
    <w:rsid w:val="47A04E74"/>
    <w:rsid w:val="47B128E3"/>
    <w:rsid w:val="47DB3D58"/>
    <w:rsid w:val="489A4EE5"/>
    <w:rsid w:val="48C908B0"/>
    <w:rsid w:val="49BA1C88"/>
    <w:rsid w:val="4B11581A"/>
    <w:rsid w:val="4B4301C3"/>
    <w:rsid w:val="4B475260"/>
    <w:rsid w:val="4B790193"/>
    <w:rsid w:val="4BA65044"/>
    <w:rsid w:val="4C0B03C7"/>
    <w:rsid w:val="4C455C43"/>
    <w:rsid w:val="4C491FD6"/>
    <w:rsid w:val="4C7B7278"/>
    <w:rsid w:val="4C800A2A"/>
    <w:rsid w:val="4D16093B"/>
    <w:rsid w:val="4D186EB4"/>
    <w:rsid w:val="4DEA5361"/>
    <w:rsid w:val="4E233D62"/>
    <w:rsid w:val="4E245513"/>
    <w:rsid w:val="4E770027"/>
    <w:rsid w:val="4E8A2FDA"/>
    <w:rsid w:val="4EF24AB6"/>
    <w:rsid w:val="4EF4775B"/>
    <w:rsid w:val="4FE922F6"/>
    <w:rsid w:val="4FF9679B"/>
    <w:rsid w:val="50BF306A"/>
    <w:rsid w:val="50D864FF"/>
    <w:rsid w:val="51334B74"/>
    <w:rsid w:val="51531C2C"/>
    <w:rsid w:val="516A17B2"/>
    <w:rsid w:val="51F65CA5"/>
    <w:rsid w:val="52344790"/>
    <w:rsid w:val="524A102A"/>
    <w:rsid w:val="52CC3E57"/>
    <w:rsid w:val="53142EA0"/>
    <w:rsid w:val="54DC4C6B"/>
    <w:rsid w:val="553B45EA"/>
    <w:rsid w:val="562A45D0"/>
    <w:rsid w:val="56590946"/>
    <w:rsid w:val="568E3812"/>
    <w:rsid w:val="56C2785B"/>
    <w:rsid w:val="56D90E52"/>
    <w:rsid w:val="56F24C1A"/>
    <w:rsid w:val="56FA762A"/>
    <w:rsid w:val="57135944"/>
    <w:rsid w:val="572441C8"/>
    <w:rsid w:val="5772184D"/>
    <w:rsid w:val="5777B8B1"/>
    <w:rsid w:val="585D500A"/>
    <w:rsid w:val="587F6039"/>
    <w:rsid w:val="58BF7A40"/>
    <w:rsid w:val="58D36385"/>
    <w:rsid w:val="591C3207"/>
    <w:rsid w:val="59D81EA5"/>
    <w:rsid w:val="59DE68B4"/>
    <w:rsid w:val="5A0871F1"/>
    <w:rsid w:val="5A64198B"/>
    <w:rsid w:val="5B1F1D3C"/>
    <w:rsid w:val="5B552916"/>
    <w:rsid w:val="5B9C4349"/>
    <w:rsid w:val="5C321615"/>
    <w:rsid w:val="5CA70480"/>
    <w:rsid w:val="5CB433BF"/>
    <w:rsid w:val="5CCC7A6C"/>
    <w:rsid w:val="5CDD1B04"/>
    <w:rsid w:val="5D5353FE"/>
    <w:rsid w:val="5D610403"/>
    <w:rsid w:val="5DD90248"/>
    <w:rsid w:val="5E571FB3"/>
    <w:rsid w:val="5E6D45E8"/>
    <w:rsid w:val="5E8B409B"/>
    <w:rsid w:val="5F132704"/>
    <w:rsid w:val="5FB601FE"/>
    <w:rsid w:val="5FBF0471"/>
    <w:rsid w:val="5FC263C6"/>
    <w:rsid w:val="60A91DB0"/>
    <w:rsid w:val="60BC5AC5"/>
    <w:rsid w:val="615A73FC"/>
    <w:rsid w:val="61642C9F"/>
    <w:rsid w:val="616E1341"/>
    <w:rsid w:val="61FF2466"/>
    <w:rsid w:val="627F69F9"/>
    <w:rsid w:val="629D4EE1"/>
    <w:rsid w:val="62C84A81"/>
    <w:rsid w:val="63397EC9"/>
    <w:rsid w:val="638074E2"/>
    <w:rsid w:val="63B67940"/>
    <w:rsid w:val="63D41FEC"/>
    <w:rsid w:val="645720EB"/>
    <w:rsid w:val="64693C0A"/>
    <w:rsid w:val="646A1B10"/>
    <w:rsid w:val="646E7877"/>
    <w:rsid w:val="6480278D"/>
    <w:rsid w:val="650A67B4"/>
    <w:rsid w:val="65396959"/>
    <w:rsid w:val="65660CAD"/>
    <w:rsid w:val="65907247"/>
    <w:rsid w:val="65B568C4"/>
    <w:rsid w:val="66774C6B"/>
    <w:rsid w:val="66816143"/>
    <w:rsid w:val="668255BE"/>
    <w:rsid w:val="673C4982"/>
    <w:rsid w:val="67986F4E"/>
    <w:rsid w:val="67BF35EC"/>
    <w:rsid w:val="68526E3D"/>
    <w:rsid w:val="68CB18C0"/>
    <w:rsid w:val="68E21039"/>
    <w:rsid w:val="68E9163D"/>
    <w:rsid w:val="6A5D3305"/>
    <w:rsid w:val="6A89617E"/>
    <w:rsid w:val="6B6A4927"/>
    <w:rsid w:val="6C2153E1"/>
    <w:rsid w:val="6D330A41"/>
    <w:rsid w:val="6E802039"/>
    <w:rsid w:val="6EAA6EE6"/>
    <w:rsid w:val="6EBF1829"/>
    <w:rsid w:val="6EFC7B95"/>
    <w:rsid w:val="6F16607F"/>
    <w:rsid w:val="6F280D81"/>
    <w:rsid w:val="6F393A0A"/>
    <w:rsid w:val="6F534149"/>
    <w:rsid w:val="70005F19"/>
    <w:rsid w:val="703736B6"/>
    <w:rsid w:val="706202C3"/>
    <w:rsid w:val="706E40BF"/>
    <w:rsid w:val="70DC69B3"/>
    <w:rsid w:val="71122E88"/>
    <w:rsid w:val="715F31A8"/>
    <w:rsid w:val="71CA25C3"/>
    <w:rsid w:val="71D15700"/>
    <w:rsid w:val="71FB2B6D"/>
    <w:rsid w:val="723D0D65"/>
    <w:rsid w:val="727A0FDA"/>
    <w:rsid w:val="72D52FCE"/>
    <w:rsid w:val="72D71554"/>
    <w:rsid w:val="730A7A6C"/>
    <w:rsid w:val="73314005"/>
    <w:rsid w:val="734452DC"/>
    <w:rsid w:val="73532145"/>
    <w:rsid w:val="73A25EB7"/>
    <w:rsid w:val="73D17C39"/>
    <w:rsid w:val="73D5003E"/>
    <w:rsid w:val="740C0C71"/>
    <w:rsid w:val="741632F0"/>
    <w:rsid w:val="74F8509A"/>
    <w:rsid w:val="750A41DF"/>
    <w:rsid w:val="751E3458"/>
    <w:rsid w:val="75B278E0"/>
    <w:rsid w:val="75D00A4F"/>
    <w:rsid w:val="765F3E99"/>
    <w:rsid w:val="768425BD"/>
    <w:rsid w:val="76AB6635"/>
    <w:rsid w:val="76BB121F"/>
    <w:rsid w:val="76C02AA3"/>
    <w:rsid w:val="77000835"/>
    <w:rsid w:val="77745E36"/>
    <w:rsid w:val="7774A11B"/>
    <w:rsid w:val="777B5F13"/>
    <w:rsid w:val="77FDF5BF"/>
    <w:rsid w:val="783F44D9"/>
    <w:rsid w:val="785B6234"/>
    <w:rsid w:val="786063E7"/>
    <w:rsid w:val="793C073C"/>
    <w:rsid w:val="795E0DD5"/>
    <w:rsid w:val="7961503B"/>
    <w:rsid w:val="798106FC"/>
    <w:rsid w:val="79AF5721"/>
    <w:rsid w:val="79BB56B6"/>
    <w:rsid w:val="79D16419"/>
    <w:rsid w:val="79E93D6B"/>
    <w:rsid w:val="7A0E33B1"/>
    <w:rsid w:val="7A1E2A8D"/>
    <w:rsid w:val="7A2575B2"/>
    <w:rsid w:val="7B3A7793"/>
    <w:rsid w:val="7B500FB3"/>
    <w:rsid w:val="7B52397D"/>
    <w:rsid w:val="7B732F6B"/>
    <w:rsid w:val="7BF25E46"/>
    <w:rsid w:val="7D2D3A06"/>
    <w:rsid w:val="7DAC2711"/>
    <w:rsid w:val="7E0F2984"/>
    <w:rsid w:val="7E3D6A1A"/>
    <w:rsid w:val="7E4674D8"/>
    <w:rsid w:val="7E4D31A7"/>
    <w:rsid w:val="7EE61281"/>
    <w:rsid w:val="7EFA2879"/>
    <w:rsid w:val="7F0E19C3"/>
    <w:rsid w:val="7F6C2AFB"/>
    <w:rsid w:val="7FB56E4A"/>
    <w:rsid w:val="7FC9520C"/>
    <w:rsid w:val="7FCC5758"/>
    <w:rsid w:val="7FE7CCEB"/>
    <w:rsid w:val="7FFBC280"/>
    <w:rsid w:val="E7D1E177"/>
    <w:rsid w:val="FBACA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3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9"/>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rPr>
      <w:sz w:val="24"/>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annotation reference"/>
    <w:basedOn w:val="28"/>
    <w:unhideWhenUsed/>
    <w:qFormat/>
    <w:uiPriority w:val="99"/>
    <w:rPr>
      <w:sz w:val="21"/>
      <w:szCs w:val="21"/>
    </w:rPr>
  </w:style>
  <w:style w:type="character" w:styleId="34">
    <w:name w:val="footnote reference"/>
    <w:semiHidden/>
    <w:qFormat/>
    <w:uiPriority w:val="0"/>
    <w:rPr>
      <w:rFonts w:ascii="宋体" w:hAnsi="宋体" w:eastAsia="宋体" w:cs="Times New Roman"/>
      <w:spacing w:val="0"/>
      <w:sz w:val="18"/>
      <w:vertAlign w:val="superscript"/>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semiHidden/>
    <w:qFormat/>
    <w:uiPriority w:val="99"/>
    <w:rPr>
      <w:sz w:val="18"/>
      <w:szCs w:val="18"/>
    </w:rPr>
  </w:style>
  <w:style w:type="paragraph" w:customStyle="1"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7"/>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link w:val="252"/>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12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段"/>
    <w:link w:val="233"/>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59"/>
    <w:qFormat/>
    <w:uiPriority w:val="0"/>
    <w:pPr>
      <w:outlineLvl w:val="4"/>
    </w:pPr>
  </w:style>
  <w:style w:type="paragraph" w:customStyle="1" w:styleId="134">
    <w:name w:val="附录四级无标题条"/>
    <w:basedOn w:val="133"/>
    <w:next w:val="59"/>
    <w:qFormat/>
    <w:uiPriority w:val="0"/>
    <w:pPr>
      <w:outlineLvl w:val="5"/>
    </w:pPr>
  </w:style>
  <w:style w:type="paragraph" w:customStyle="1" w:styleId="135">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59"/>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0"/>
    <w:next w:val="59"/>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59"/>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2"/>
    <w:qFormat/>
    <w:uiPriority w:val="0"/>
    <w:p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59"/>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8"/>
    <w:qFormat/>
    <w:uiPriority w:val="0"/>
    <w:pPr>
      <w:spacing w:before="0" w:beforeLines="0" w:after="0" w:afterLines="0"/>
      <w:outlineLvl w:val="9"/>
    </w:pPr>
    <w:rPr>
      <w:rFonts w:ascii="宋体" w:eastAsia="宋体"/>
    </w:rPr>
  </w:style>
  <w:style w:type="paragraph" w:customStyle="1" w:styleId="167">
    <w:name w:val="标准文件_五级无标题"/>
    <w:basedOn w:val="106"/>
    <w:qFormat/>
    <w:uiPriority w:val="0"/>
    <w:pPr>
      <w:spacing w:before="0" w:beforeLines="0" w:after="0" w:afterLines="0"/>
      <w:outlineLvl w:val="9"/>
    </w:pPr>
    <w:rPr>
      <w:rFonts w:ascii="宋体" w:eastAsia="宋体"/>
    </w:rPr>
  </w:style>
  <w:style w:type="paragraph" w:customStyle="1" w:styleId="168">
    <w:name w:val="标准文件_三级无标题"/>
    <w:basedOn w:val="97"/>
    <w:qFormat/>
    <w:uiPriority w:val="0"/>
    <w:pPr>
      <w:spacing w:before="0" w:beforeLines="0" w:after="0" w:afterLines="0"/>
      <w:outlineLvl w:val="9"/>
    </w:pPr>
    <w:rPr>
      <w:rFonts w:ascii="宋体" w:eastAsia="宋体"/>
    </w:rPr>
  </w:style>
  <w:style w:type="paragraph" w:customStyle="1" w:styleId="169">
    <w:name w:val="标准文件_二级无标题"/>
    <w:basedOn w:val="68"/>
    <w:qFormat/>
    <w:uiPriority w:val="0"/>
    <w:pPr>
      <w:spacing w:before="0" w:beforeLines="0" w:after="0" w:afterLines="0"/>
      <w:outlineLvl w:val="9"/>
    </w:pPr>
    <w:rPr>
      <w:rFonts w:ascii="宋体" w:eastAsia="宋体"/>
    </w:rPr>
  </w:style>
  <w:style w:type="paragraph" w:customStyle="1" w:styleId="170">
    <w:name w:val="标准_四级无标题"/>
    <w:basedOn w:val="101"/>
    <w:next w:val="59"/>
    <w:qFormat/>
    <w:uiPriority w:val="0"/>
    <w:rPr>
      <w:rFonts w:eastAsia="宋体"/>
    </w:rPr>
  </w:style>
  <w:style w:type="paragraph" w:customStyle="1" w:styleId="171">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59"/>
    <w:qFormat/>
    <w:uiPriority w:val="0"/>
    <w:pPr>
      <w:numPr>
        <w:ilvl w:val="0"/>
        <w:numId w:val="24"/>
      </w:numPr>
      <w:ind w:firstLine="0" w:firstLineChars="0"/>
    </w:pPr>
    <w:rPr>
      <w:rFonts w:cs="Arial"/>
      <w:szCs w:val="28"/>
    </w:rPr>
  </w:style>
  <w:style w:type="paragraph" w:customStyle="1" w:styleId="174">
    <w:name w:val="标准文件_附录标题"/>
    <w:basedOn w:val="79"/>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59"/>
    <w:qFormat/>
    <w:uiPriority w:val="0"/>
    <w:pPr>
      <w:ind w:firstLine="0" w:firstLineChars="0"/>
      <w:jc w:val="center"/>
    </w:pPr>
    <w:rPr>
      <w:sz w:val="18"/>
    </w:rPr>
  </w:style>
  <w:style w:type="paragraph" w:customStyle="1" w:styleId="183">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59"/>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59"/>
    <w:qFormat/>
    <w:uiPriority w:val="0"/>
    <w:rPr>
      <w:rFonts w:ascii="宋体" w:hAnsi="Times New Roman"/>
      <w:sz w:val="21"/>
    </w:rPr>
  </w:style>
  <w:style w:type="paragraph" w:customStyle="1" w:styleId="189">
    <w:name w:val="标准文件_表格续"/>
    <w:basedOn w:val="59"/>
    <w:next w:val="59"/>
    <w:qFormat/>
    <w:uiPriority w:val="0"/>
    <w:pPr>
      <w:jc w:val="center"/>
    </w:pPr>
    <w:rPr>
      <w:rFonts w:ascii="黑体" w:hAnsi="黑体" w:eastAsia="黑体"/>
    </w:rPr>
  </w:style>
  <w:style w:type="character" w:customStyle="1" w:styleId="190">
    <w:name w:val="Placeholder Text"/>
    <w:basedOn w:val="28"/>
    <w:semiHidden/>
    <w:qFormat/>
    <w:uiPriority w:val="99"/>
    <w:rPr>
      <w:color w:val="808080"/>
    </w:rPr>
  </w:style>
  <w:style w:type="paragraph" w:customStyle="1" w:styleId="191">
    <w:name w:val="标准文件_二级项2"/>
    <w:basedOn w:val="59"/>
    <w:qFormat/>
    <w:uiPriority w:val="0"/>
    <w:pPr>
      <w:numPr>
        <w:ilvl w:val="1"/>
        <w:numId w:val="21"/>
      </w:numPr>
      <w:ind w:left="1271" w:hanging="420" w:firstLineChars="0"/>
    </w:pPr>
  </w:style>
  <w:style w:type="paragraph" w:customStyle="1" w:styleId="192">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59"/>
    <w:next w:val="59"/>
    <w:qFormat/>
    <w:uiPriority w:val="0"/>
    <w:pPr>
      <w:ind w:firstLine="420"/>
    </w:pPr>
    <w:rPr>
      <w:rFonts w:ascii="黑体" w:eastAsia="黑体"/>
    </w:rPr>
  </w:style>
  <w:style w:type="character" w:customStyle="1" w:styleId="195">
    <w:name w:val="标准文件_来源"/>
    <w:basedOn w:val="28"/>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59"/>
    <w:qFormat/>
    <w:uiPriority w:val="0"/>
    <w:pPr>
      <w:ind w:left="811" w:firstLine="0" w:firstLineChars="0"/>
    </w:pPr>
    <w:rPr>
      <w:sz w:val="18"/>
    </w:rPr>
  </w:style>
  <w:style w:type="paragraph" w:customStyle="1" w:styleId="210">
    <w:name w:val="标准文件_注X后"/>
    <w:basedOn w:val="59"/>
    <w:qFormat/>
    <w:uiPriority w:val="0"/>
    <w:pPr>
      <w:ind w:left="811" w:firstLine="0" w:firstLineChars="0"/>
    </w:pPr>
    <w:rPr>
      <w:sz w:val="18"/>
    </w:rPr>
  </w:style>
  <w:style w:type="paragraph" w:customStyle="1" w:styleId="211">
    <w:name w:val="标准文件_示例后"/>
    <w:basedOn w:val="59"/>
    <w:qFormat/>
    <w:uiPriority w:val="0"/>
    <w:pPr>
      <w:ind w:left="964" w:firstLine="0" w:firstLineChars="0"/>
    </w:pPr>
    <w:rPr>
      <w:sz w:val="18"/>
    </w:rPr>
  </w:style>
  <w:style w:type="paragraph" w:customStyle="1" w:styleId="212">
    <w:name w:val="标准文件_示例X后"/>
    <w:basedOn w:val="59"/>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59"/>
    <w:next w:val="59"/>
    <w:qFormat/>
    <w:uiPriority w:val="0"/>
    <w:pPr>
      <w:tabs>
        <w:tab w:val="right" w:leader="dot" w:pos="9356"/>
      </w:tabs>
      <w:ind w:left="210" w:hanging="210" w:firstLineChars="0"/>
      <w:jc w:val="left"/>
    </w:pPr>
  </w:style>
  <w:style w:type="paragraph" w:customStyle="1" w:styleId="215">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59"/>
    <w:qFormat/>
    <w:uiPriority w:val="0"/>
    <w:pPr>
      <w:spacing w:before="0" w:beforeLines="0" w:after="0" w:afterLines="0" w:line="276" w:lineRule="auto"/>
    </w:pPr>
    <w:rPr>
      <w:rFonts w:ascii="宋体" w:eastAsia="宋体"/>
    </w:rPr>
  </w:style>
  <w:style w:type="paragraph" w:customStyle="1" w:styleId="225">
    <w:name w:val="标准文件_索引标题"/>
    <w:basedOn w:val="66"/>
    <w:next w:val="59"/>
    <w:qFormat/>
    <w:uiPriority w:val="0"/>
    <w:rPr>
      <w:rFonts w:hAnsi="黑体"/>
    </w:rPr>
  </w:style>
  <w:style w:type="paragraph" w:customStyle="1" w:styleId="226">
    <w:name w:val="标准文件_脚注内容"/>
    <w:basedOn w:val="59"/>
    <w:qFormat/>
    <w:uiPriority w:val="0"/>
    <w:pPr>
      <w:ind w:left="400" w:leftChars="200" w:hanging="200" w:hangingChars="200"/>
    </w:pPr>
    <w:rPr>
      <w:sz w:val="15"/>
    </w:rPr>
  </w:style>
  <w:style w:type="paragraph" w:customStyle="1" w:styleId="227">
    <w:name w:val="标准文件_术语条一"/>
    <w:basedOn w:val="166"/>
    <w:next w:val="59"/>
    <w:qFormat/>
    <w:uiPriority w:val="0"/>
  </w:style>
  <w:style w:type="paragraph" w:customStyle="1" w:styleId="228">
    <w:name w:val="标准文件_术语条二"/>
    <w:basedOn w:val="169"/>
    <w:next w:val="59"/>
    <w:qFormat/>
    <w:uiPriority w:val="0"/>
  </w:style>
  <w:style w:type="paragraph" w:customStyle="1" w:styleId="229">
    <w:name w:val="标准文件_术语条三"/>
    <w:basedOn w:val="168"/>
    <w:next w:val="59"/>
    <w:qFormat/>
    <w:uiPriority w:val="0"/>
  </w:style>
  <w:style w:type="paragraph" w:customStyle="1" w:styleId="230">
    <w:name w:val="标准文件_术语条四"/>
    <w:basedOn w:val="171"/>
    <w:next w:val="59"/>
    <w:qFormat/>
    <w:uiPriority w:val="0"/>
  </w:style>
  <w:style w:type="paragraph" w:customStyle="1" w:styleId="231">
    <w:name w:val="标准文件_术语条五"/>
    <w:basedOn w:val="167"/>
    <w:next w:val="59"/>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段 Char Char"/>
    <w:link w:val="123"/>
    <w:qFormat/>
    <w:uiPriority w:val="0"/>
    <w:rPr>
      <w:rFonts w:ascii="宋体"/>
      <w:sz w:val="21"/>
    </w:rPr>
  </w:style>
  <w:style w:type="paragraph" w:customStyle="1" w:styleId="234">
    <w:name w:val="目次、标准名称标题"/>
    <w:basedOn w:val="1"/>
    <w:next w:val="123"/>
    <w:qFormat/>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35">
    <w:name w:val="前言、引言标题"/>
    <w:next w:val="1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6">
    <w:name w:val="章标题"/>
    <w:next w:val="123"/>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7">
    <w:name w:val="UserStyle_1"/>
    <w:qFormat/>
    <w:uiPriority w:val="0"/>
    <w:pPr>
      <w:tabs>
        <w:tab w:val="center" w:pos="4201"/>
        <w:tab w:val="right" w:leader="dot" w:pos="9298"/>
      </w:tabs>
      <w:ind w:firstLine="420" w:firstLineChars="200"/>
      <w:jc w:val="both"/>
      <w:textAlignment w:val="baseline"/>
    </w:pPr>
    <w:rPr>
      <w:rFonts w:ascii="宋体" w:hAnsi="Times New Roman" w:eastAsia="宋体" w:cstheme="minorBidi"/>
      <w:sz w:val="21"/>
      <w:lang w:val="en-US" w:eastAsia="zh-CN" w:bidi="ar-SA"/>
    </w:rPr>
  </w:style>
  <w:style w:type="character" w:customStyle="1" w:styleId="238">
    <w:name w:val="NormalCharacter"/>
    <w:qFormat/>
    <w:uiPriority w:val="0"/>
    <w:rPr>
      <w:rFonts w:ascii="Calibri" w:hAnsi="Calibri" w:eastAsia="宋体" w:cs="Times New Roman"/>
      <w:kern w:val="2"/>
      <w:sz w:val="21"/>
      <w:szCs w:val="21"/>
      <w:lang w:val="en-US" w:eastAsia="zh-CN" w:bidi="ar-SA"/>
    </w:rPr>
  </w:style>
  <w:style w:type="character" w:customStyle="1" w:styleId="239">
    <w:name w:val="批注文字 字符"/>
    <w:basedOn w:val="28"/>
    <w:link w:val="13"/>
    <w:semiHidden/>
    <w:qFormat/>
    <w:uiPriority w:val="99"/>
    <w:rPr>
      <w:rFonts w:ascii="Calibri" w:hAnsi="Calibri"/>
      <w:kern w:val="2"/>
      <w:sz w:val="21"/>
      <w:szCs w:val="21"/>
    </w:rPr>
  </w:style>
  <w:style w:type="paragraph" w:customStyle="1" w:styleId="240">
    <w:name w:val="修订1"/>
    <w:hidden/>
    <w:semiHidden/>
    <w:qFormat/>
    <w:uiPriority w:val="99"/>
    <w:rPr>
      <w:rFonts w:ascii="Calibri" w:hAnsi="Calibri" w:eastAsia="宋体" w:cs="Times New Roman"/>
      <w:kern w:val="2"/>
      <w:sz w:val="21"/>
      <w:szCs w:val="21"/>
      <w:lang w:val="en-US" w:eastAsia="zh-CN" w:bidi="ar-SA"/>
    </w:rPr>
  </w:style>
  <w:style w:type="paragraph" w:customStyle="1" w:styleId="241">
    <w:name w:val="修订11"/>
    <w:hidden/>
    <w:semiHidden/>
    <w:qFormat/>
    <w:uiPriority w:val="99"/>
    <w:rPr>
      <w:rFonts w:ascii="Calibri" w:hAnsi="Calibri" w:eastAsia="宋体" w:cs="Times New Roman"/>
      <w:kern w:val="2"/>
      <w:sz w:val="21"/>
      <w:szCs w:val="21"/>
      <w:lang w:val="en-US" w:eastAsia="zh-CN" w:bidi="ar-SA"/>
    </w:rPr>
  </w:style>
  <w:style w:type="character" w:customStyle="1" w:styleId="242">
    <w:name w:val="其他_"/>
    <w:basedOn w:val="28"/>
    <w:link w:val="243"/>
    <w:qFormat/>
    <w:uiPriority w:val="0"/>
    <w:rPr>
      <w:rFonts w:ascii="MingLiU" w:hAnsi="MingLiU" w:eastAsia="MingLiU" w:cs="MingLiU"/>
      <w:sz w:val="17"/>
      <w:szCs w:val="17"/>
      <w:shd w:val="clear" w:color="auto" w:fill="FFFFFF"/>
      <w:lang w:val="zh-CN" w:bidi="zh-CN"/>
    </w:rPr>
  </w:style>
  <w:style w:type="paragraph" w:customStyle="1" w:styleId="243">
    <w:name w:val="其他"/>
    <w:basedOn w:val="1"/>
    <w:link w:val="242"/>
    <w:qFormat/>
    <w:uiPriority w:val="0"/>
    <w:pPr>
      <w:shd w:val="clear" w:color="auto" w:fill="FFFFFF"/>
      <w:adjustRightInd/>
      <w:spacing w:line="240" w:lineRule="auto"/>
      <w:jc w:val="left"/>
    </w:pPr>
    <w:rPr>
      <w:rFonts w:ascii="MingLiU" w:hAnsi="MingLiU" w:eastAsia="MingLiU" w:cs="MingLiU"/>
      <w:kern w:val="0"/>
      <w:sz w:val="17"/>
      <w:szCs w:val="17"/>
      <w:lang w:val="zh-CN" w:bidi="zh-CN"/>
    </w:rPr>
  </w:style>
  <w:style w:type="paragraph" w:customStyle="1" w:styleId="244">
    <w:name w:val="其他标准标志"/>
    <w:basedOn w:val="52"/>
    <w:qFormat/>
    <w:uiPriority w:val="99"/>
    <w:pPr>
      <w:framePr w:w="6101" w:vAnchor="page" w:hAnchor="page" w:x="4673" w:y="942"/>
    </w:pPr>
  </w:style>
  <w:style w:type="paragraph" w:customStyle="1" w:styleId="245">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黑体"/>
      <w:sz w:val="28"/>
      <w:szCs w:val="28"/>
      <w:lang w:val="en-US" w:eastAsia="zh-CN" w:bidi="ar-SA"/>
    </w:rPr>
  </w:style>
  <w:style w:type="character" w:customStyle="1" w:styleId="246">
    <w:name w:val="发布"/>
    <w:qFormat/>
    <w:uiPriority w:val="99"/>
    <w:rPr>
      <w:rFonts w:ascii="黑体" w:eastAsia="黑体" w:cs="黑体"/>
      <w:spacing w:val="85"/>
      <w:w w:val="100"/>
      <w:position w:val="3"/>
      <w:sz w:val="28"/>
      <w:szCs w:val="28"/>
    </w:rPr>
  </w:style>
  <w:style w:type="paragraph" w:customStyle="1" w:styleId="247">
    <w:name w:val="标准书眉_奇数页"/>
    <w:next w:val="1"/>
    <w:qFormat/>
    <w:uiPriority w:val="99"/>
    <w:pPr>
      <w:tabs>
        <w:tab w:val="center" w:pos="4154"/>
        <w:tab w:val="right" w:pos="8306"/>
      </w:tabs>
      <w:spacing w:after="220"/>
      <w:jc w:val="right"/>
    </w:pPr>
    <w:rPr>
      <w:rFonts w:ascii="黑体" w:hAnsi="Times New Roman" w:eastAsia="黑体" w:cs="黑体"/>
      <w:sz w:val="21"/>
      <w:szCs w:val="21"/>
      <w:lang w:val="en-US" w:eastAsia="zh-CN" w:bidi="ar-SA"/>
    </w:rPr>
  </w:style>
  <w:style w:type="paragraph" w:customStyle="1" w:styleId="248">
    <w:name w:val="标准书脚_奇数页"/>
    <w:qFormat/>
    <w:uiPriority w:val="99"/>
    <w:pPr>
      <w:spacing w:before="120"/>
      <w:ind w:right="198"/>
      <w:jc w:val="right"/>
    </w:pPr>
    <w:rPr>
      <w:rFonts w:ascii="宋体" w:hAnsi="Times New Roman" w:eastAsia="宋体" w:cs="宋体"/>
      <w:sz w:val="18"/>
      <w:szCs w:val="18"/>
      <w:lang w:val="en-US" w:eastAsia="zh-CN" w:bidi="ar-SA"/>
    </w:rPr>
  </w:style>
  <w:style w:type="paragraph" w:customStyle="1" w:styleId="249">
    <w:name w:val="发布部门DB"/>
    <w:next w:val="1"/>
    <w:qFormat/>
    <w:uiPriority w:val="0"/>
    <w:pPr>
      <w:spacing w:line="360" w:lineRule="exact"/>
      <w:jc w:val="center"/>
    </w:pPr>
    <w:rPr>
      <w:rFonts w:hint="eastAsia" w:ascii="宋体" w:hAnsi="宋体" w:eastAsia="宋体" w:cs="宋体"/>
      <w:b/>
      <w:sz w:val="36"/>
      <w:lang w:val="en-US" w:eastAsia="zh-CN" w:bidi="ar-SA"/>
    </w:rPr>
  </w:style>
  <w:style w:type="paragraph" w:customStyle="1" w:styleId="250">
    <w:name w:val="发布DB"/>
    <w:basedOn w:val="251"/>
    <w:qFormat/>
    <w:uiPriority w:val="0"/>
    <w:pPr>
      <w:ind w:left="567"/>
    </w:pPr>
  </w:style>
  <w:style w:type="paragraph" w:customStyle="1" w:styleId="251">
    <w:name w:val="发布GB"/>
    <w:basedOn w:val="14"/>
    <w:qFormat/>
    <w:uiPriority w:val="0"/>
    <w:pPr>
      <w:spacing w:after="0" w:line="280" w:lineRule="exact"/>
      <w:ind w:left="284"/>
    </w:pPr>
    <w:rPr>
      <w:rFonts w:ascii="黑体" w:eastAsia="黑体"/>
      <w:kern w:val="3"/>
      <w:sz w:val="28"/>
    </w:rPr>
  </w:style>
  <w:style w:type="character" w:customStyle="1" w:styleId="252">
    <w:name w:val="标准文件_版本 Char"/>
    <w:link w:val="60"/>
    <w:qFormat/>
    <w:uiPriority w:val="0"/>
    <w:rPr>
      <w:rFonts w:ascii="宋体" w:hAnsi="宋体"/>
      <w:kern w:val="2"/>
    </w:rPr>
  </w:style>
  <w:style w:type="paragraph" w:customStyle="1" w:styleId="253">
    <w:name w:val="列出段落1"/>
    <w:basedOn w:val="1"/>
    <w:qFormat/>
    <w:uiPriority w:val="99"/>
    <w:pPr>
      <w:ind w:firstLine="420" w:firstLineChars="200"/>
    </w:pPr>
  </w:style>
  <w:style w:type="paragraph" w:customStyle="1" w:styleId="254">
    <w:name w:val="null67"/>
    <w:qFormat/>
    <w:uiPriority w:val="0"/>
    <w:rPr>
      <w:rFonts w:ascii="Times New Roman" w:hAnsi="Times New Roman" w:eastAsia="宋体" w:cs="Times New Roman"/>
      <w:szCs w:val="21"/>
      <w:lang w:val="en-US" w:eastAsia="zh-CN" w:bidi="ar-SA"/>
    </w:rPr>
  </w:style>
  <w:style w:type="paragraph" w:customStyle="1" w:styleId="255">
    <w:name w:val="null70"/>
    <w:qFormat/>
    <w:uiPriority w:val="0"/>
    <w:rPr>
      <w:rFonts w:ascii="Times New Roman" w:hAnsi="Times New Roman" w:eastAsia="宋体" w:cs="Times New Roman"/>
      <w:szCs w:val="21"/>
      <w:lang w:val="en-US" w:eastAsia="zh-CN" w:bidi="ar-SA"/>
    </w:rPr>
  </w:style>
  <w:style w:type="paragraph" w:customStyle="1" w:styleId="256">
    <w:name w:val="null73"/>
    <w:qFormat/>
    <w:uiPriority w:val="0"/>
    <w:rPr>
      <w:rFonts w:ascii="Times New Roman" w:hAnsi="Times New Roman" w:eastAsia="宋体" w:cs="Times New Roman"/>
      <w:szCs w:val="21"/>
      <w:lang w:val="en-US" w:eastAsia="zh-CN" w:bidi="ar-SA"/>
    </w:rPr>
  </w:style>
  <w:style w:type="paragraph" w:customStyle="1" w:styleId="257">
    <w:name w:val="null76"/>
    <w:qFormat/>
    <w:uiPriority w:val="0"/>
    <w:rPr>
      <w:rFonts w:ascii="Times New Roman" w:hAnsi="Times New Roman" w:eastAsia="宋体" w:cs="Times New Roman"/>
      <w:szCs w:val="21"/>
      <w:lang w:val="en-US" w:eastAsia="zh-CN" w:bidi="ar-SA"/>
    </w:rPr>
  </w:style>
  <w:style w:type="paragraph" w:customStyle="1" w:styleId="258">
    <w:name w:val="null79"/>
    <w:qFormat/>
    <w:uiPriority w:val="0"/>
    <w:rPr>
      <w:rFonts w:ascii="Times New Roman" w:hAnsi="Times New Roman" w:eastAsia="宋体" w:cs="Times New Roman"/>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105E8778B674B87AE09A5135B2AB290"/>
        <w:style w:val=""/>
        <w:category>
          <w:name w:val="常规"/>
          <w:gallery w:val="placeholder"/>
        </w:category>
        <w:types>
          <w:type w:val="bbPlcHdr"/>
        </w:types>
        <w:behaviors>
          <w:behavior w:val="content"/>
        </w:behaviors>
        <w:description w:val=""/>
        <w:guid w:val="{2ED4D825-A125-4C97-BE56-20E7B992C778}"/>
      </w:docPartPr>
      <w:docPartBody>
        <w:p>
          <w:pPr>
            <w:pStyle w:val="5"/>
          </w:pPr>
          <w:r>
            <w:rPr>
              <w:rStyle w:val="4"/>
              <w:rFonts w:hint="eastAsia"/>
            </w:rPr>
            <w:t>单击或点击此处输入文字。</w:t>
          </w:r>
        </w:p>
      </w:docPartBody>
    </w:docPart>
    <w:docPart>
      <w:docPartPr>
        <w:name w:val="77259CC9240C405FB1444E6723B8B7BE"/>
        <w:style w:val=""/>
        <w:category>
          <w:name w:val="常规"/>
          <w:gallery w:val="placeholder"/>
        </w:category>
        <w:types>
          <w:type w:val="bbPlcHdr"/>
        </w:types>
        <w:behaviors>
          <w:behavior w:val="content"/>
        </w:behaviors>
        <w:description w:val=""/>
        <w:guid w:val="{FBC152BA-FDE5-4064-94BC-714EB7276863}"/>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2B3"/>
    <w:rsid w:val="000013E5"/>
    <w:rsid w:val="00054774"/>
    <w:rsid w:val="000C4239"/>
    <w:rsid w:val="00172663"/>
    <w:rsid w:val="001E2BA5"/>
    <w:rsid w:val="00235177"/>
    <w:rsid w:val="003223FE"/>
    <w:rsid w:val="003306E1"/>
    <w:rsid w:val="003365A6"/>
    <w:rsid w:val="00364BEC"/>
    <w:rsid w:val="003A4A07"/>
    <w:rsid w:val="003B0C8D"/>
    <w:rsid w:val="003C4F57"/>
    <w:rsid w:val="003D176B"/>
    <w:rsid w:val="003D4FB4"/>
    <w:rsid w:val="003E5CA4"/>
    <w:rsid w:val="004A3B40"/>
    <w:rsid w:val="005262B3"/>
    <w:rsid w:val="00566575"/>
    <w:rsid w:val="005C6991"/>
    <w:rsid w:val="00712F7F"/>
    <w:rsid w:val="0078319D"/>
    <w:rsid w:val="007E4501"/>
    <w:rsid w:val="009A362E"/>
    <w:rsid w:val="00A1447C"/>
    <w:rsid w:val="00B156E0"/>
    <w:rsid w:val="00B57FA6"/>
    <w:rsid w:val="00B95197"/>
    <w:rsid w:val="00C1546F"/>
    <w:rsid w:val="00CE1304"/>
    <w:rsid w:val="00D340B1"/>
    <w:rsid w:val="00D85C7B"/>
    <w:rsid w:val="00D920D5"/>
    <w:rsid w:val="00E70C07"/>
    <w:rsid w:val="00F22DB5"/>
    <w:rsid w:val="00F66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5105E8778B674B87AE09A5135B2AB2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7259CC9240C405FB1444E6723B8B7B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4DB544-45FC-4BC5-9939-9311B7D61E3A}">
  <ds:schemaRefs/>
</ds:datastoreItem>
</file>

<file path=docProps/app.xml><?xml version="1.0" encoding="utf-8"?>
<Properties xmlns="http://schemas.openxmlformats.org/officeDocument/2006/extended-properties" xmlns:vt="http://schemas.openxmlformats.org/officeDocument/2006/docPropsVTypes">
  <Template>国家标准.dotx</Template>
  <Company>PCMI</Company>
  <Pages>12</Pages>
  <Words>1034</Words>
  <Characters>5898</Characters>
  <Lines>49</Lines>
  <Paragraphs>13</Paragraphs>
  <TotalTime>7</TotalTime>
  <ScaleCrop>false</ScaleCrop>
  <LinksUpToDate>false</LinksUpToDate>
  <CharactersWithSpaces>6919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2021-08-28T10:30:00Z</dcterms:created>
  <dc:creator>吴崇禄</dc:creator>
  <dc:description>&lt;config cover="true" show_menu="true" version="1.0.0" doctype="SDKXY"&gt;_x000d_
&lt;/config&gt;</dc:description>
  <cp:lastModifiedBy>78273</cp:lastModifiedBy>
  <cp:lastPrinted>2025-04-29T08:25:00Z</cp:lastPrinted>
  <dcterms:modified xsi:type="dcterms:W3CDTF">2025-05-21T07:20:10Z</dcterms:modified>
  <dc:title>国家标准</dc:title>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2052-10.8.0.6423</vt:lpwstr>
  </property>
  <property fmtid="{D5CDD505-2E9C-101B-9397-08002B2CF9AE}" pid="15" name="ICV">
    <vt:lpwstr>9564008E42B244B181691A9DC8C6DF4E_13</vt:lpwstr>
  </property>
</Properties>
</file>